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85EE" w14:textId="77777777" w:rsidR="00DE62BD" w:rsidRDefault="00DE62BD" w:rsidP="00DE62BD">
      <w:pPr>
        <w:pStyle w:val="Corpsdetexte"/>
        <w:spacing w:before="120" w:after="120"/>
        <w:ind w:left="129" w:right="120" w:hanging="1"/>
        <w:jc w:val="center"/>
        <w:rPr>
          <w:rFonts w:ascii="Georgia" w:hAnsi="Georgia" w:cs="Arial"/>
          <w:b/>
          <w:bCs/>
          <w:color w:val="CC0000"/>
          <w:sz w:val="28"/>
          <w:szCs w:val="28"/>
        </w:rPr>
      </w:pPr>
    </w:p>
    <w:p w14:paraId="189BFA1B" w14:textId="41653E25" w:rsidR="00BC4D84" w:rsidRDefault="001B7D53" w:rsidP="001B7D53">
      <w:pPr>
        <w:pStyle w:val="Corpsdetexte"/>
        <w:tabs>
          <w:tab w:val="left" w:pos="1425"/>
        </w:tabs>
        <w:spacing w:before="120" w:after="120"/>
        <w:ind w:left="129" w:right="120" w:hanging="1"/>
        <w:jc w:val="left"/>
        <w:rPr>
          <w:rFonts w:ascii="Georgia" w:hAnsi="Georgia" w:cs="Arial"/>
          <w:b/>
          <w:bCs/>
          <w:color w:val="CC0000"/>
          <w:sz w:val="28"/>
          <w:szCs w:val="28"/>
        </w:rPr>
      </w:pPr>
      <w:r>
        <w:rPr>
          <w:rFonts w:ascii="Georgia" w:hAnsi="Georgia" w:cs="Arial"/>
          <w:b/>
          <w:bCs/>
          <w:color w:val="CC0000"/>
          <w:sz w:val="28"/>
          <w:szCs w:val="28"/>
        </w:rPr>
        <w:tab/>
      </w:r>
      <w:r>
        <w:rPr>
          <w:rFonts w:ascii="Georgia" w:hAnsi="Georgia" w:cs="Arial"/>
          <w:b/>
          <w:bCs/>
          <w:color w:val="CC0000"/>
          <w:sz w:val="28"/>
          <w:szCs w:val="28"/>
        </w:rPr>
        <w:tab/>
      </w:r>
      <w:r w:rsidR="003721F0">
        <w:rPr>
          <w:rFonts w:ascii="Georgia" w:hAnsi="Georgia" w:cs="Arial"/>
          <w:b/>
          <w:bCs/>
          <w:color w:val="CC0000"/>
          <w:sz w:val="28"/>
          <w:szCs w:val="28"/>
        </w:rPr>
        <w:t>POLITIQUE</w:t>
      </w:r>
      <w:r w:rsidR="00C9769F">
        <w:rPr>
          <w:rFonts w:ascii="Georgia" w:hAnsi="Georgia" w:cs="Arial"/>
          <w:b/>
          <w:bCs/>
          <w:color w:val="CC0000"/>
          <w:sz w:val="28"/>
          <w:szCs w:val="28"/>
        </w:rPr>
        <w:t>S</w:t>
      </w:r>
      <w:r w:rsidR="003721F0">
        <w:rPr>
          <w:rFonts w:ascii="Georgia" w:hAnsi="Georgia" w:cs="Arial"/>
          <w:b/>
          <w:bCs/>
          <w:color w:val="CC0000"/>
          <w:sz w:val="28"/>
          <w:szCs w:val="28"/>
        </w:rPr>
        <w:t xml:space="preserve"> ET PRATIQUES ENCADRANT LA</w:t>
      </w:r>
      <w:r w:rsidR="00375856" w:rsidRPr="00D93FF4">
        <w:rPr>
          <w:rFonts w:ascii="Georgia" w:hAnsi="Georgia" w:cs="Arial"/>
          <w:b/>
          <w:bCs/>
          <w:color w:val="CC0000"/>
          <w:sz w:val="28"/>
          <w:szCs w:val="28"/>
        </w:rPr>
        <w:t xml:space="preserve"> </w:t>
      </w:r>
      <w:r w:rsidR="00446E3B">
        <w:rPr>
          <w:rFonts w:ascii="Georgia" w:hAnsi="Georgia" w:cs="Arial"/>
          <w:b/>
          <w:bCs/>
          <w:color w:val="CC0000"/>
          <w:sz w:val="28"/>
          <w:szCs w:val="28"/>
        </w:rPr>
        <w:t>GOUVER</w:t>
      </w:r>
      <w:r w:rsidR="004422EF">
        <w:rPr>
          <w:rFonts w:ascii="Georgia" w:hAnsi="Georgia" w:cs="Arial"/>
          <w:b/>
          <w:bCs/>
          <w:color w:val="CC0000"/>
          <w:sz w:val="28"/>
          <w:szCs w:val="28"/>
        </w:rPr>
        <w:t>N</w:t>
      </w:r>
      <w:r w:rsidR="00446E3B">
        <w:rPr>
          <w:rFonts w:ascii="Georgia" w:hAnsi="Georgia" w:cs="Arial"/>
          <w:b/>
          <w:bCs/>
          <w:color w:val="CC0000"/>
          <w:sz w:val="28"/>
          <w:szCs w:val="28"/>
        </w:rPr>
        <w:t>AN</w:t>
      </w:r>
      <w:r w:rsidR="00911511">
        <w:rPr>
          <w:rFonts w:ascii="Georgia" w:hAnsi="Georgia" w:cs="Arial"/>
          <w:b/>
          <w:bCs/>
          <w:color w:val="CC0000"/>
          <w:sz w:val="28"/>
          <w:szCs w:val="28"/>
        </w:rPr>
        <w:t>CE</w:t>
      </w:r>
      <w:r w:rsidR="00375856">
        <w:rPr>
          <w:rFonts w:ascii="Georgia" w:hAnsi="Georgia" w:cs="Arial"/>
          <w:b/>
          <w:bCs/>
          <w:color w:val="CC0000"/>
          <w:sz w:val="28"/>
          <w:szCs w:val="28"/>
        </w:rPr>
        <w:t xml:space="preserve"> DES RENSEIGNEMENTS PERSONNELS</w:t>
      </w:r>
    </w:p>
    <w:p w14:paraId="77080170" w14:textId="70E5A627" w:rsidR="00DE62BD" w:rsidRDefault="00262564" w:rsidP="00DE62BD">
      <w:pPr>
        <w:pStyle w:val="Corpsdetexte"/>
        <w:spacing w:before="120" w:after="120"/>
        <w:ind w:left="129" w:right="120" w:hanging="1"/>
        <w:jc w:val="center"/>
        <w:rPr>
          <w:rFonts w:cs="Arial"/>
        </w:rPr>
      </w:pPr>
      <w:r w:rsidRPr="00262564">
        <w:rPr>
          <w:rFonts w:cs="Arial"/>
        </w:rPr>
        <w:t xml:space="preserve">(Document </w:t>
      </w:r>
      <w:r w:rsidR="00701A46">
        <w:rPr>
          <w:rFonts w:cs="Arial"/>
        </w:rPr>
        <w:t>à être publié sur le</w:t>
      </w:r>
      <w:r w:rsidRPr="00262564">
        <w:rPr>
          <w:rFonts w:cs="Arial"/>
        </w:rPr>
        <w:t xml:space="preserve"> site Internet de l’organisation)</w:t>
      </w:r>
    </w:p>
    <w:p w14:paraId="17057D60" w14:textId="77777777" w:rsidR="00156D83" w:rsidRPr="00262564" w:rsidRDefault="00156D83" w:rsidP="00DE62BD">
      <w:pPr>
        <w:pStyle w:val="Corpsdetexte"/>
        <w:spacing w:before="120" w:after="120"/>
        <w:ind w:left="129" w:right="120" w:hanging="1"/>
        <w:jc w:val="center"/>
        <w:rPr>
          <w:rFonts w:cs="Arial"/>
        </w:rPr>
      </w:pPr>
    </w:p>
    <w:p w14:paraId="2F06A305" w14:textId="77777777" w:rsidR="00683DC3" w:rsidRPr="00BE7716" w:rsidRDefault="00683DC3" w:rsidP="00683DC3">
      <w:pPr>
        <w:spacing w:after="0" w:line="240" w:lineRule="auto"/>
        <w:rPr>
          <w:rFonts w:eastAsia="Times New Roman" w:cs="Arial"/>
          <w:vanish/>
          <w:sz w:val="20"/>
          <w:szCs w:val="20"/>
          <w:lang w:eastAsia="fr-CA"/>
        </w:rPr>
      </w:pPr>
    </w:p>
    <w:tbl>
      <w:tblPr>
        <w:tblW w:w="9498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5245"/>
      </w:tblGrid>
      <w:tr w:rsidR="00FC1213" w:rsidRPr="00456D41" w14:paraId="26CF7606" w14:textId="77777777" w:rsidTr="00635636">
        <w:tc>
          <w:tcPr>
            <w:tcW w:w="949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FA2A5" w14:textId="5859AA04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fr-CA"/>
              </w:rPr>
              <w:t>A. Éléments constitutifs</w:t>
            </w:r>
            <w:r w:rsidR="00D444C4" w:rsidRPr="004D724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fr-CA"/>
              </w:rPr>
              <w:t xml:space="preserve"> du programme de gouvernance</w:t>
            </w:r>
          </w:p>
        </w:tc>
      </w:tr>
      <w:tr w:rsidR="00FC1213" w:rsidRPr="00456D41" w14:paraId="18CBCF95" w14:textId="77777777" w:rsidTr="001418D8">
        <w:tc>
          <w:tcPr>
            <w:tcW w:w="19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9EA77" w14:textId="1E93F946" w:rsidR="004819EC" w:rsidRPr="004D7242" w:rsidRDefault="00FC1213" w:rsidP="00ED051A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Engagement organisationnel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4B12B" w14:textId="2FFB6A09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a) Participation de la direction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E8ABD" w14:textId="439A7CA3" w:rsidR="00FC1213" w:rsidRPr="004D7242" w:rsidRDefault="008F500A" w:rsidP="00A16A60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La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direction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appuie le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programme de </w:t>
            </w:r>
            <w:r w:rsidR="00911511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gouvernance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des </w:t>
            </w:r>
            <w:r w:rsidR="00BF196B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renseignements personnels (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RP</w:t>
            </w:r>
            <w:r w:rsidR="004C4BDD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)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et </w:t>
            </w:r>
            <w:r w:rsidR="00861E8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prom</w:t>
            </w:r>
            <w:r w:rsidR="004F515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eut</w:t>
            </w:r>
            <w:r w:rsidR="00861E8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une culture respectueuse de la vie privée en faisant ce qui suit :</w:t>
            </w:r>
          </w:p>
          <w:p w14:paraId="5D3D158D" w14:textId="5BC27770" w:rsidR="00FC1213" w:rsidRPr="004D7242" w:rsidRDefault="00B76D20" w:rsidP="00A16A60">
            <w:pPr>
              <w:numPr>
                <w:ilvl w:val="0"/>
                <w:numId w:val="41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N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ommer le responsable de </w:t>
            </w:r>
            <w:r w:rsidR="003A268D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la 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protection des RP</w:t>
            </w:r>
            <w:r w:rsidR="003A268D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(</w:t>
            </w:r>
            <w:r w:rsidR="00A46B82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</w:t>
            </w:r>
            <w:r w:rsidR="003A268D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esponsable PRP)</w:t>
            </w:r>
            <w:r w:rsidR="0039217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0B70B877" w14:textId="10B927A2" w:rsidR="00FC1213" w:rsidRPr="004D7242" w:rsidRDefault="00B76D20" w:rsidP="00A16A60">
            <w:pPr>
              <w:numPr>
                <w:ilvl w:val="0"/>
                <w:numId w:val="41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A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pprouver les mesures de contrôle du programme</w:t>
            </w:r>
            <w:r w:rsidR="0039217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7E615DEE" w14:textId="356EB05F" w:rsidR="00FC1213" w:rsidRPr="004D7242" w:rsidRDefault="00B76D20" w:rsidP="00A16A60">
            <w:pPr>
              <w:numPr>
                <w:ilvl w:val="0"/>
                <w:numId w:val="41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C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ontrôler le programme et présenter des rapports au </w:t>
            </w:r>
            <w:r w:rsidR="00874725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conseil d’administration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, le cas échéant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348CCE1C" w14:textId="4DE82495" w:rsidR="00FC1213" w:rsidRPr="004D7242" w:rsidRDefault="00B76D20" w:rsidP="00A16A60">
            <w:pPr>
              <w:numPr>
                <w:ilvl w:val="0"/>
                <w:numId w:val="41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F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ournir les ressources nécessaires pour assurer la réussite du programme.</w:t>
            </w:r>
          </w:p>
        </w:tc>
      </w:tr>
      <w:tr w:rsidR="00FC1213" w:rsidRPr="00456D41" w14:paraId="48FCE48B" w14:textId="77777777" w:rsidTr="001418D8">
        <w:tc>
          <w:tcPr>
            <w:tcW w:w="198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DE73E93" w14:textId="77777777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87721" w14:textId="77777777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b) Responsable de la protection des RP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C1ACC" w14:textId="77777777" w:rsidR="00FC1213" w:rsidRPr="004D7242" w:rsidRDefault="00FC1213" w:rsidP="00972361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Responsable de l’élaboration et de la mise en œuvre des mesures de contrôle du programme et de leur évaluation et révision continue.</w:t>
            </w:r>
          </w:p>
        </w:tc>
      </w:tr>
      <w:tr w:rsidR="00D303F8" w:rsidRPr="00456D41" w14:paraId="78D9C8B7" w14:textId="77777777" w:rsidTr="001418D8">
        <w:trPr>
          <w:gridAfter w:val="2"/>
          <w:wAfter w:w="7513" w:type="dxa"/>
          <w:trHeight w:val="470"/>
        </w:trPr>
        <w:tc>
          <w:tcPr>
            <w:tcW w:w="198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3A34C3A" w14:textId="77777777" w:rsidR="00D303F8" w:rsidRPr="004D7242" w:rsidRDefault="00D303F8" w:rsidP="00A16A60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</w:tr>
      <w:tr w:rsidR="00FC1213" w:rsidRPr="00456D41" w14:paraId="32EBBA23" w14:textId="77777777" w:rsidTr="001418D8">
        <w:tc>
          <w:tcPr>
            <w:tcW w:w="198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10FD093" w14:textId="77777777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16076" w14:textId="22CDA042" w:rsidR="00FC1213" w:rsidRPr="004D7242" w:rsidRDefault="004B662A" w:rsidP="00A16A60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d</w:t>
            </w:r>
            <w:r w:rsidR="00FC1213"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) Préparation de rapports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990FA" w14:textId="4B9E95FC" w:rsidR="00FC1213" w:rsidRPr="004D7242" w:rsidRDefault="00FC1213" w:rsidP="006B22A8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L’organisation </w:t>
            </w:r>
            <w:r w:rsidR="00D6106B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a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établi des mécanismes redditionnels et en t</w:t>
            </w:r>
            <w:r w:rsidR="00D6106B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ient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compte dans les mesures de contrôle de son programme.</w:t>
            </w:r>
          </w:p>
        </w:tc>
      </w:tr>
      <w:tr w:rsidR="00FC1213" w:rsidRPr="00456D41" w14:paraId="4F3EEC47" w14:textId="77777777" w:rsidTr="001418D8">
        <w:trPr>
          <w:trHeight w:val="2438"/>
        </w:trPr>
        <w:tc>
          <w:tcPr>
            <w:tcW w:w="198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0992C" w14:textId="74C29BB0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yellow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Mesures de contrôle du programme</w:t>
            </w:r>
            <w:r w:rsidR="000D7A55"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 de gouvernance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0F942" w14:textId="77777777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a) Inventaire des RP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755BC" w14:textId="77777777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L’organisation est en mesure de déterminer :</w:t>
            </w:r>
          </w:p>
          <w:p w14:paraId="12E0D156" w14:textId="3B0B5E8D" w:rsidR="00FC1213" w:rsidRPr="004D7242" w:rsidRDefault="0082291A" w:rsidP="00A16A60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es RP qu’elle possède ou contrôle;</w:t>
            </w:r>
          </w:p>
          <w:p w14:paraId="55CB8105" w14:textId="629750A5" w:rsidR="00FC1213" w:rsidRPr="004D7242" w:rsidRDefault="0082291A" w:rsidP="00A16A60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</w:t>
            </w:r>
            <w:r w:rsidR="0040177A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a nécessité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de recueillir, d’utiliser et de communiquer des RP;</w:t>
            </w:r>
          </w:p>
          <w:p w14:paraId="55749649" w14:textId="77777777" w:rsidR="00FC1213" w:rsidRPr="004D7242" w:rsidRDefault="0082291A" w:rsidP="00A16A60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a nature sensible des RP</w:t>
            </w:r>
            <w:r w:rsidR="0040177A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7B21802B" w14:textId="090F458F" w:rsidR="0040177A" w:rsidRPr="004D7242" w:rsidRDefault="0040177A" w:rsidP="00A16A60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Les mesures de </w:t>
            </w:r>
            <w:r w:rsidR="00DB433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sécurité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en place</w:t>
            </w:r>
            <w:r w:rsidR="00DB3E3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.</w:t>
            </w:r>
          </w:p>
        </w:tc>
      </w:tr>
      <w:tr w:rsidR="00FC1213" w:rsidRPr="00456D41" w14:paraId="403B2202" w14:textId="77777777" w:rsidTr="001418D8">
        <w:trPr>
          <w:trHeight w:val="421"/>
        </w:trPr>
        <w:tc>
          <w:tcPr>
            <w:tcW w:w="1985" w:type="dxa"/>
            <w:vMerge/>
            <w:tcBorders>
              <w:left w:val="single" w:sz="6" w:space="0" w:color="DDDDDD"/>
              <w:right w:val="single" w:sz="6" w:space="0" w:color="DDDDDD"/>
            </w:tcBorders>
            <w:vAlign w:val="center"/>
            <w:hideMark/>
          </w:tcPr>
          <w:p w14:paraId="3BFB46F8" w14:textId="77777777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E7681" w14:textId="5C8C7B88" w:rsidR="00FC1213" w:rsidRPr="004D7242" w:rsidRDefault="00FC1213" w:rsidP="00A16A60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b) Politiques</w:t>
            </w:r>
            <w:r w:rsidR="00BB2B97"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, directives et procédures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160BC" w14:textId="6423D17D" w:rsidR="008A1AE3" w:rsidRPr="004D7242" w:rsidRDefault="008A1AE3" w:rsidP="001D028F">
            <w:pPr>
              <w:numPr>
                <w:ilvl w:val="0"/>
                <w:numId w:val="47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Politique de protection des </w:t>
            </w:r>
            <w:r w:rsidR="00534AC0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RP</w:t>
            </w:r>
            <w:r w:rsidR="00506F1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qui détaille les rôles et responsabilités </w:t>
            </w:r>
            <w:r w:rsidR="00BB651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des membres du personnel</w:t>
            </w:r>
            <w:r w:rsidR="00802F58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tout au long du</w:t>
            </w:r>
            <w:r w:rsidR="00021601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cycle de vie</w:t>
            </w:r>
            <w:r w:rsidR="002858E0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de ces renseignements</w:t>
            </w:r>
            <w:r w:rsidR="001D028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2AB1AFDC" w14:textId="3281946C" w:rsidR="00FC1213" w:rsidRPr="004D7242" w:rsidRDefault="00AF5C65" w:rsidP="00A16A60">
            <w:pPr>
              <w:numPr>
                <w:ilvl w:val="0"/>
                <w:numId w:val="47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cs="Arial"/>
                <w:sz w:val="20"/>
                <w:szCs w:val="20"/>
                <w:bdr w:val="none" w:sz="0" w:space="0" w:color="auto" w:frame="1"/>
              </w:rPr>
              <w:t xml:space="preserve">Directive sur la collecte, l’utilisation et la communication de </w:t>
            </w:r>
            <w:r w:rsidR="00534AC0" w:rsidRPr="004D7242">
              <w:rPr>
                <w:rFonts w:cs="Arial"/>
                <w:sz w:val="20"/>
                <w:szCs w:val="20"/>
                <w:bdr w:val="none" w:sz="0" w:space="0" w:color="auto" w:frame="1"/>
              </w:rPr>
              <w:t>RP;</w:t>
            </w:r>
          </w:p>
          <w:p w14:paraId="3F610997" w14:textId="08B9BF8C" w:rsidR="00534AC0" w:rsidRPr="004D7242" w:rsidRDefault="004D1736" w:rsidP="00645A58">
            <w:pPr>
              <w:numPr>
                <w:ilvl w:val="0"/>
                <w:numId w:val="47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cs="Arial"/>
                <w:sz w:val="20"/>
                <w:szCs w:val="20"/>
              </w:rPr>
              <w:lastRenderedPageBreak/>
              <w:t xml:space="preserve">Directive sur la conservation, la destruction et l’anonymisation de </w:t>
            </w:r>
            <w:r w:rsidR="00534AC0" w:rsidRPr="004D7242">
              <w:rPr>
                <w:rFonts w:cs="Arial"/>
                <w:sz w:val="20"/>
                <w:szCs w:val="20"/>
              </w:rPr>
              <w:t>RP;</w:t>
            </w:r>
          </w:p>
          <w:p w14:paraId="2C94F0A4" w14:textId="34C1DE60" w:rsidR="00645A58" w:rsidRPr="004D7242" w:rsidRDefault="00645A58" w:rsidP="00645A58">
            <w:pPr>
              <w:numPr>
                <w:ilvl w:val="0"/>
                <w:numId w:val="47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cs="Arial"/>
                <w:sz w:val="20"/>
                <w:szCs w:val="20"/>
                <w:lang w:val="fr-FR" w:eastAsia="fr-FR"/>
              </w:rPr>
              <w:t xml:space="preserve">Directive sur les mesures de sécurité des </w:t>
            </w:r>
            <w:r w:rsidR="00534AC0" w:rsidRPr="004D7242">
              <w:rPr>
                <w:rFonts w:cs="Arial"/>
                <w:sz w:val="20"/>
                <w:szCs w:val="20"/>
                <w:lang w:val="fr-FR" w:eastAsia="fr-FR"/>
              </w:rPr>
              <w:t>RP;</w:t>
            </w:r>
            <w:r w:rsidRPr="004D7242">
              <w:rPr>
                <w:rFonts w:cs="Arial"/>
                <w:sz w:val="20"/>
                <w:szCs w:val="20"/>
              </w:rPr>
              <w:t xml:space="preserve"> </w:t>
            </w:r>
          </w:p>
          <w:p w14:paraId="64EC3AD2" w14:textId="6AD7F41B" w:rsidR="00FC1213" w:rsidRPr="004D7242" w:rsidRDefault="00CB11E3" w:rsidP="001D3AF8">
            <w:pPr>
              <w:numPr>
                <w:ilvl w:val="0"/>
                <w:numId w:val="47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NewRoman" w:cs="Arial"/>
                <w:sz w:val="20"/>
                <w:szCs w:val="20"/>
              </w:rPr>
              <w:t xml:space="preserve">Procédure de traitement des demandes et des plaintes relatives aux </w:t>
            </w:r>
            <w:r w:rsidR="00534AC0" w:rsidRPr="004D7242">
              <w:rPr>
                <w:rFonts w:eastAsia="TimesNewRoman" w:cs="Arial"/>
                <w:sz w:val="20"/>
                <w:szCs w:val="20"/>
              </w:rPr>
              <w:t>RP;</w:t>
            </w:r>
          </w:p>
          <w:p w14:paraId="695CC524" w14:textId="77777777" w:rsidR="00314FA7" w:rsidRPr="004D7242" w:rsidRDefault="00314FA7" w:rsidP="001D3AF8">
            <w:pPr>
              <w:numPr>
                <w:ilvl w:val="0"/>
                <w:numId w:val="47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cs="Arial"/>
                <w:sz w:val="20"/>
                <w:szCs w:val="20"/>
                <w:lang w:val="fr-FR" w:eastAsia="fr-FR"/>
              </w:rPr>
              <w:t xml:space="preserve">Procédure de gestion des incidents de confidentialité impliquant un </w:t>
            </w:r>
            <w:r w:rsidR="00534AC0" w:rsidRPr="004D7242">
              <w:rPr>
                <w:rFonts w:cs="Arial"/>
                <w:sz w:val="20"/>
                <w:szCs w:val="20"/>
                <w:lang w:val="fr-FR" w:eastAsia="fr-FR"/>
              </w:rPr>
              <w:t>RP;</w:t>
            </w:r>
          </w:p>
          <w:p w14:paraId="43C6E48F" w14:textId="0D874ED7" w:rsidR="00D85EC0" w:rsidRPr="004D7242" w:rsidRDefault="00D85EC0" w:rsidP="001D3AF8">
            <w:pPr>
              <w:numPr>
                <w:ilvl w:val="0"/>
                <w:numId w:val="47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cs="Arial"/>
                <w:sz w:val="20"/>
                <w:szCs w:val="20"/>
                <w:lang w:val="fr-FR" w:eastAsia="fr-FR"/>
              </w:rPr>
              <w:t xml:space="preserve">Politique de confidentialité des RP recueillis </w:t>
            </w:r>
            <w:r w:rsidR="00DE3D8E">
              <w:rPr>
                <w:rFonts w:cs="Arial"/>
                <w:sz w:val="20"/>
                <w:szCs w:val="20"/>
                <w:lang w:val="fr-FR" w:eastAsia="fr-FR"/>
              </w:rPr>
              <w:t>via</w:t>
            </w:r>
            <w:r w:rsidRPr="004D7242">
              <w:rPr>
                <w:rFonts w:cs="Arial"/>
                <w:sz w:val="20"/>
                <w:szCs w:val="20"/>
                <w:lang w:val="fr-FR" w:eastAsia="fr-FR"/>
              </w:rPr>
              <w:t xml:space="preserve"> le site Internet</w:t>
            </w:r>
            <w:r w:rsidR="00940B23" w:rsidRPr="004D7242">
              <w:rPr>
                <w:rFonts w:cs="Arial"/>
                <w:sz w:val="20"/>
                <w:szCs w:val="20"/>
                <w:lang w:val="fr-FR" w:eastAsia="fr-FR"/>
              </w:rPr>
              <w:t>.</w:t>
            </w:r>
          </w:p>
        </w:tc>
      </w:tr>
      <w:tr w:rsidR="00FC1213" w:rsidRPr="00456D41" w14:paraId="47D92BCB" w14:textId="77777777" w:rsidTr="004B4631">
        <w:trPr>
          <w:trHeight w:val="389"/>
        </w:trPr>
        <w:tc>
          <w:tcPr>
            <w:tcW w:w="1985" w:type="dxa"/>
            <w:vMerge/>
            <w:tcBorders>
              <w:left w:val="single" w:sz="6" w:space="0" w:color="DDDDDD"/>
              <w:right w:val="single" w:sz="6" w:space="0" w:color="DDDDDD"/>
            </w:tcBorders>
            <w:vAlign w:val="center"/>
            <w:hideMark/>
          </w:tcPr>
          <w:p w14:paraId="37947B52" w14:textId="77777777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BD566" w14:textId="77777777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c) Outils d’évaluation du risque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br/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1F3717E" w14:textId="527093D7" w:rsidR="00816F32" w:rsidRPr="004D7242" w:rsidRDefault="000A0E10" w:rsidP="00816F32">
            <w:pPr>
              <w:spacing w:before="120" w:after="120" w:line="240" w:lineRule="auto"/>
              <w:ind w:left="122"/>
              <w:rPr>
                <w:rFonts w:cs="Arial"/>
                <w:sz w:val="20"/>
                <w:szCs w:val="20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Grille d’é</w:t>
            </w:r>
            <w:r w:rsidR="002F30E0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valuation des facteurs </w:t>
            </w:r>
            <w:r w:rsidR="009204F5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relatifs à la vie privée</w:t>
            </w:r>
            <w:r w:rsidR="00600931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2F30E0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(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EFVP</w:t>
            </w:r>
            <w:bookmarkStart w:id="0" w:name="_Ref130815265"/>
            <w:r w:rsidR="000C2A69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)</w:t>
            </w:r>
            <w:r w:rsidR="007903B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bookmarkEnd w:id="0"/>
            <w:r w:rsidR="005267B3" w:rsidRPr="004D7242">
              <w:rPr>
                <w:rFonts w:cs="Arial"/>
                <w:sz w:val="20"/>
                <w:szCs w:val="20"/>
              </w:rPr>
              <w:t>pour</w:t>
            </w:r>
            <w:r w:rsidR="00625F28" w:rsidRPr="004D7242">
              <w:rPr>
                <w:rFonts w:cs="Arial"/>
                <w:sz w:val="20"/>
                <w:szCs w:val="20"/>
              </w:rPr>
              <w:t> :</w:t>
            </w:r>
          </w:p>
          <w:p w14:paraId="2689F1DD" w14:textId="74CABBAE" w:rsidR="00816F32" w:rsidRPr="004D7242" w:rsidRDefault="00816F32" w:rsidP="00816F32">
            <w:pPr>
              <w:pStyle w:val="Paragraphedeliste"/>
              <w:numPr>
                <w:ilvl w:val="0"/>
                <w:numId w:val="49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ascii="Arial" w:hAnsi="Arial" w:cs="Arial"/>
                <w:sz w:val="20"/>
                <w:szCs w:val="20"/>
              </w:rPr>
              <w:t>T</w:t>
            </w:r>
            <w:r w:rsidR="005267B3" w:rsidRPr="004D7242">
              <w:rPr>
                <w:rFonts w:ascii="Arial" w:hAnsi="Arial" w:cs="Arial"/>
                <w:sz w:val="20"/>
                <w:szCs w:val="20"/>
              </w:rPr>
              <w:t xml:space="preserve">out projet d’acquisition, de développement ou de refonte d’un système d’information ou de prestation électronique de services impliquant la collecte, l’utilisation, la communication, la conservation ou la destruction de RP; </w:t>
            </w:r>
          </w:p>
          <w:p w14:paraId="29A16B27" w14:textId="0AABCE87" w:rsidR="00816F32" w:rsidRPr="004D7242" w:rsidRDefault="00EF0D23" w:rsidP="00816F32">
            <w:pPr>
              <w:pStyle w:val="Paragraphedeliste"/>
              <w:numPr>
                <w:ilvl w:val="0"/>
                <w:numId w:val="49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ascii="Arial" w:hAnsi="Arial" w:cs="Arial"/>
                <w:sz w:val="20"/>
                <w:szCs w:val="20"/>
              </w:rPr>
              <w:t>C</w:t>
            </w:r>
            <w:r w:rsidR="005267B3" w:rsidRPr="004D7242">
              <w:rPr>
                <w:rFonts w:ascii="Arial" w:hAnsi="Arial" w:cs="Arial"/>
                <w:sz w:val="20"/>
                <w:szCs w:val="20"/>
              </w:rPr>
              <w:t>ommuniquer des RP à l’extérieur du Québec ou confier à un tiers situé à l’extérieur du Québec la tâche de recueillir, d’utiliser, de communiquer ou de conserver pour son compte des RP</w:t>
            </w:r>
            <w:r w:rsidR="00722324" w:rsidRPr="004D7242">
              <w:rPr>
                <w:rFonts w:ascii="Arial" w:hAnsi="Arial" w:cs="Arial"/>
                <w:sz w:val="20"/>
                <w:szCs w:val="20"/>
              </w:rPr>
              <w:t>;</w:t>
            </w:r>
            <w:r w:rsidR="005267B3" w:rsidRPr="004D72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2A183D" w14:textId="0838C7FC" w:rsidR="00FC1213" w:rsidRPr="004D7242" w:rsidRDefault="00EF0D23" w:rsidP="00816F32">
            <w:pPr>
              <w:pStyle w:val="Paragraphedeliste"/>
              <w:numPr>
                <w:ilvl w:val="0"/>
                <w:numId w:val="49"/>
              </w:num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ascii="Arial" w:hAnsi="Arial" w:cs="Arial"/>
                <w:sz w:val="20"/>
                <w:szCs w:val="20"/>
              </w:rPr>
              <w:t>Co</w:t>
            </w:r>
            <w:r w:rsidR="005267B3" w:rsidRPr="004D7242">
              <w:rPr>
                <w:rFonts w:ascii="Arial" w:hAnsi="Arial" w:cs="Arial"/>
                <w:sz w:val="20"/>
                <w:szCs w:val="20"/>
              </w:rPr>
              <w:t>mmuniquer des RP à un tiers sans le consentement des personnes concernées à des fins d’étude, de recherche ou de production de statistiques.</w:t>
            </w:r>
          </w:p>
          <w:p w14:paraId="62F0B83F" w14:textId="1CE69DE7" w:rsidR="00FC1213" w:rsidRPr="004D7242" w:rsidRDefault="000A0E10" w:rsidP="00722324">
            <w:pPr>
              <w:spacing w:before="120" w:after="120" w:line="240" w:lineRule="auto"/>
              <w:ind w:left="122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Grille d’é</w:t>
            </w:r>
            <w:r w:rsidR="0072232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valuation du r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isque de préjudice sérieux</w:t>
            </w:r>
            <w:r w:rsidR="008B4A90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2232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en cas d’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incident de </w:t>
            </w:r>
            <w:r w:rsidR="00D03D40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confidentialité</w:t>
            </w:r>
            <w:r w:rsidR="0091754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.</w:t>
            </w:r>
          </w:p>
        </w:tc>
      </w:tr>
      <w:tr w:rsidR="00FC1213" w:rsidRPr="00456D41" w14:paraId="6E8C18A4" w14:textId="77777777" w:rsidTr="001418D8">
        <w:trPr>
          <w:trHeight w:val="3595"/>
        </w:trPr>
        <w:tc>
          <w:tcPr>
            <w:tcW w:w="1985" w:type="dxa"/>
            <w:vMerge/>
            <w:tcBorders>
              <w:left w:val="single" w:sz="6" w:space="0" w:color="DDDDDD"/>
              <w:right w:val="single" w:sz="6" w:space="0" w:color="DDDDDD"/>
            </w:tcBorders>
            <w:vAlign w:val="center"/>
          </w:tcPr>
          <w:p w14:paraId="7171DB97" w14:textId="77777777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22FAF" w14:textId="23043DE2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d) </w:t>
            </w:r>
            <w:r w:rsidR="00A22C55"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F</w:t>
            </w: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ormation et sensibilisation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br/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6EC21EB" w14:textId="3C69FCA6" w:rsidR="00FC1213" w:rsidRPr="004D7242" w:rsidRDefault="00FC1213" w:rsidP="00D4356E">
            <w:pPr>
              <w:spacing w:before="120" w:after="120"/>
              <w:ind w:left="97" w:right="124"/>
              <w:jc w:val="both"/>
              <w:rPr>
                <w:rFonts w:eastAsia="Times New Roman" w:cs="Arial"/>
                <w:color w:val="51616E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Un</w:t>
            </w:r>
            <w:r w:rsidR="00856B4C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programme de formation</w:t>
            </w:r>
            <w:r w:rsidR="00856B4C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qui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vise l’ensemble des employés, incluant les cadres, et </w:t>
            </w:r>
            <w:r w:rsidR="00BC427E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qui couvre notamment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les sujets suivants</w:t>
            </w:r>
            <w:r w:rsidRPr="004D7242">
              <w:rPr>
                <w:rFonts w:eastAsia="Times New Roman" w:cs="Arial"/>
                <w:color w:val="313131"/>
                <w:sz w:val="20"/>
                <w:szCs w:val="20"/>
                <w:lang w:eastAsia="fr-CA"/>
              </w:rPr>
              <w:t xml:space="preserve"> :</w:t>
            </w:r>
          </w:p>
          <w:p w14:paraId="6BDE09F0" w14:textId="1575BF06" w:rsidR="00FC1213" w:rsidRPr="004D7242" w:rsidRDefault="00FC1213" w:rsidP="000C2A69">
            <w:pPr>
              <w:numPr>
                <w:ilvl w:val="0"/>
                <w:numId w:val="47"/>
              </w:numPr>
              <w:tabs>
                <w:tab w:val="clear" w:pos="720"/>
                <w:tab w:val="num" w:pos="842"/>
              </w:tabs>
              <w:spacing w:before="120" w:after="120" w:line="240" w:lineRule="auto"/>
              <w:ind w:left="826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Les lois</w:t>
            </w:r>
            <w:r w:rsidR="00241510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,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politiques</w:t>
            </w:r>
            <w:r w:rsidR="00241510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-directives-procédures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6D18D5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internes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applicables en matière de protection des RP;</w:t>
            </w:r>
          </w:p>
          <w:p w14:paraId="403026A9" w14:textId="06DE966E" w:rsidR="00FC1213" w:rsidRPr="004D7242" w:rsidRDefault="00FC1213" w:rsidP="000C2A69">
            <w:pPr>
              <w:numPr>
                <w:ilvl w:val="0"/>
                <w:numId w:val="47"/>
              </w:numPr>
              <w:tabs>
                <w:tab w:val="clear" w:pos="720"/>
                <w:tab w:val="num" w:pos="842"/>
              </w:tabs>
              <w:spacing w:before="120" w:after="120" w:line="240" w:lineRule="auto"/>
              <w:ind w:left="826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Des techniques afin d’identifier et de reconnaître les </w:t>
            </w:r>
            <w:r w:rsidR="00BD5E2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incidents de confidentialité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1247FF95" w14:textId="40ADD59C" w:rsidR="00FC1213" w:rsidRPr="004D7242" w:rsidRDefault="00FC1213" w:rsidP="000C2A69">
            <w:pPr>
              <w:numPr>
                <w:ilvl w:val="0"/>
                <w:numId w:val="47"/>
              </w:numPr>
              <w:tabs>
                <w:tab w:val="clear" w:pos="720"/>
                <w:tab w:val="num" w:pos="842"/>
              </w:tabs>
              <w:spacing w:before="120" w:after="120" w:line="240" w:lineRule="auto"/>
              <w:ind w:left="826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Le traitement des plaintes </w:t>
            </w:r>
            <w:r w:rsidR="00DC165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et des demandes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en matière de protection des RP; </w:t>
            </w:r>
          </w:p>
          <w:p w14:paraId="6F24B6F7" w14:textId="718C82AD" w:rsidR="00FC1213" w:rsidRPr="004D7242" w:rsidRDefault="00FC1213" w:rsidP="000C2A69">
            <w:pPr>
              <w:numPr>
                <w:ilvl w:val="0"/>
                <w:numId w:val="47"/>
              </w:numPr>
              <w:tabs>
                <w:tab w:val="clear" w:pos="720"/>
                <w:tab w:val="num" w:pos="842"/>
              </w:tabs>
              <w:spacing w:before="120" w:after="120" w:line="240" w:lineRule="auto"/>
              <w:ind w:left="826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Les conséquences de la violation des lois et des </w:t>
            </w:r>
            <w:r w:rsidR="004439EE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règles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6D18D5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internes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en matière de protection des RP.</w:t>
            </w:r>
          </w:p>
        </w:tc>
      </w:tr>
      <w:tr w:rsidR="00FC1213" w:rsidRPr="00456D41" w14:paraId="193C6F95" w14:textId="77777777" w:rsidTr="001418D8">
        <w:trPr>
          <w:trHeight w:val="260"/>
        </w:trPr>
        <w:tc>
          <w:tcPr>
            <w:tcW w:w="1985" w:type="dxa"/>
            <w:vMerge/>
            <w:tcBorders>
              <w:left w:val="single" w:sz="6" w:space="0" w:color="DDDDDD"/>
              <w:right w:val="single" w:sz="6" w:space="0" w:color="DDDDDD"/>
            </w:tcBorders>
            <w:vAlign w:val="center"/>
          </w:tcPr>
          <w:p w14:paraId="0F9A2F9C" w14:textId="77777777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13A08" w14:textId="47C11FE8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e) Protocole de gestion en cas d’incident de confidentialité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br/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ABC0DE2" w14:textId="2C622190" w:rsidR="00FC1213" w:rsidRPr="004D7242" w:rsidRDefault="00FC1213" w:rsidP="00D4356E">
            <w:pPr>
              <w:spacing w:before="120" w:after="120" w:line="240" w:lineRule="auto"/>
              <w:ind w:left="97"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</w:t>
            </w:r>
            <w:r w:rsidR="00392D42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’organisation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06F1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a mis en place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une procédure et nomm</w:t>
            </w:r>
            <w:r w:rsidR="00506F1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é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une personne responsable de la gestion des incidents de </w:t>
            </w:r>
            <w:r w:rsidR="00E44AE2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confidentialité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qui concernent des RP. </w:t>
            </w:r>
            <w:r w:rsidR="00506F1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Elle a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clairement </w:t>
            </w:r>
            <w:r w:rsidR="00506F1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défini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les responsabilités en matière de déclarations internes et externes des violations. </w:t>
            </w:r>
          </w:p>
          <w:p w14:paraId="55D9A283" w14:textId="0F6F0F51" w:rsidR="00FC1213" w:rsidRPr="004D7242" w:rsidRDefault="00FC1213" w:rsidP="00D4356E">
            <w:pPr>
              <w:spacing w:before="120" w:after="120" w:line="240" w:lineRule="auto"/>
              <w:ind w:left="97" w:right="124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lastRenderedPageBreak/>
              <w:t>L</w:t>
            </w:r>
            <w:r w:rsidR="00392D42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’organisation </w:t>
            </w:r>
            <w:r w:rsidR="001D028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tient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un registre de tous les incidents de confidentialité</w:t>
            </w:r>
            <w:r w:rsidR="001C35D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,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227272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même ceux qui ne </w:t>
            </w:r>
            <w:r w:rsidR="0034593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comportent pas de risque de préjudice sérieux.</w:t>
            </w:r>
          </w:p>
        </w:tc>
      </w:tr>
      <w:tr w:rsidR="00FC1213" w:rsidRPr="00456D41" w14:paraId="722FFD2C" w14:textId="77777777" w:rsidTr="001418D8">
        <w:trPr>
          <w:trHeight w:val="260"/>
        </w:trPr>
        <w:tc>
          <w:tcPr>
            <w:tcW w:w="1985" w:type="dxa"/>
            <w:vMerge w:val="restart"/>
            <w:tcBorders>
              <w:left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vAlign w:val="center"/>
          </w:tcPr>
          <w:p w14:paraId="3E916180" w14:textId="7309AD7C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63215" w14:textId="2D16AF6C" w:rsidR="00FC1213" w:rsidRPr="004D7242" w:rsidRDefault="00FC1213" w:rsidP="00FE1CCB">
            <w:pPr>
              <w:spacing w:before="120" w:after="120" w:line="240" w:lineRule="auto"/>
              <w:ind w:right="-117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f) Gestion des fournisseurs de service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7CC2D85" w14:textId="59440616" w:rsidR="00FC1213" w:rsidRPr="004D7242" w:rsidRDefault="00AE599E" w:rsidP="00D4356E">
            <w:pPr>
              <w:spacing w:before="120" w:after="120" w:line="240" w:lineRule="auto"/>
              <w:ind w:left="97"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L’</w:t>
            </w:r>
            <w:r w:rsidR="001D028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organisation </w:t>
            </w:r>
            <w:r w:rsidR="00657C5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incorpore des clauses de confidentialité ou </w:t>
            </w:r>
            <w:r w:rsidR="00D60A81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conclut avec ses fournisseurs</w:t>
            </w:r>
            <w:r w:rsidR="00392D5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C284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de service </w:t>
            </w:r>
            <w:r w:rsidR="00392D5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un contrat de sous-traitance des données qui prévoi</w:t>
            </w:r>
            <w:r w:rsidR="007A1B1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en</w:t>
            </w:r>
            <w:r w:rsidR="00392D5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t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notamment :</w:t>
            </w:r>
          </w:p>
          <w:p w14:paraId="3EFAEB48" w14:textId="30537D7C" w:rsidR="00FC1213" w:rsidRPr="004D7242" w:rsidRDefault="00FC1213" w:rsidP="00D4356E">
            <w:pPr>
              <w:numPr>
                <w:ilvl w:val="0"/>
                <w:numId w:val="42"/>
              </w:numPr>
              <w:spacing w:before="120" w:after="120" w:line="240" w:lineRule="auto"/>
              <w:ind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</w:t>
            </w:r>
            <w:r w:rsidR="009C284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es mesures de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protection des RP;</w:t>
            </w:r>
          </w:p>
          <w:p w14:paraId="3B210A30" w14:textId="77777777" w:rsidR="00FC1213" w:rsidRPr="004D7242" w:rsidRDefault="00FC1213" w:rsidP="00D4356E">
            <w:pPr>
              <w:numPr>
                <w:ilvl w:val="0"/>
                <w:numId w:val="42"/>
              </w:numPr>
              <w:spacing w:before="120" w:after="120" w:line="240" w:lineRule="auto"/>
              <w:ind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L’utilisation des RP aux fins de l’exécution du contrat;</w:t>
            </w:r>
          </w:p>
          <w:p w14:paraId="7D90B5E4" w14:textId="77777777" w:rsidR="00FC1213" w:rsidRPr="004D7242" w:rsidRDefault="00FC1213" w:rsidP="00D4356E">
            <w:pPr>
              <w:numPr>
                <w:ilvl w:val="0"/>
                <w:numId w:val="42"/>
              </w:numPr>
              <w:spacing w:before="120" w:after="120" w:line="240" w:lineRule="auto"/>
              <w:ind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La destruction des RP à l’issue du contrat;</w:t>
            </w:r>
          </w:p>
          <w:p w14:paraId="339EDF98" w14:textId="4EB81074" w:rsidR="00FC1213" w:rsidRPr="004D7242" w:rsidRDefault="00FC1213" w:rsidP="00D4356E">
            <w:pPr>
              <w:numPr>
                <w:ilvl w:val="0"/>
                <w:numId w:val="42"/>
              </w:numPr>
              <w:spacing w:before="120" w:after="120" w:line="240" w:lineRule="auto"/>
              <w:ind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L’obligation pour le fournisseur de services de notifier sans délai l’organisation en cas de</w:t>
            </w:r>
            <w:r w:rsidR="00EA46A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violation ou tentative de violation des obligations de confidentialité; </w:t>
            </w:r>
          </w:p>
          <w:p w14:paraId="70F4961E" w14:textId="77777777" w:rsidR="00FC1213" w:rsidRPr="004D7242" w:rsidRDefault="00FC1213" w:rsidP="00D4356E">
            <w:pPr>
              <w:numPr>
                <w:ilvl w:val="0"/>
                <w:numId w:val="42"/>
              </w:numPr>
              <w:spacing w:before="120" w:after="120" w:line="240" w:lineRule="auto"/>
              <w:ind w:right="124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La possibilité pour l’organisation de demander tout document et d’effectuer toute vérification relative à la confidentialité des RP.</w:t>
            </w:r>
          </w:p>
        </w:tc>
      </w:tr>
      <w:tr w:rsidR="00FC1213" w:rsidRPr="00456D41" w14:paraId="5A5DD3C5" w14:textId="77777777" w:rsidTr="001920E5">
        <w:trPr>
          <w:trHeight w:val="4358"/>
        </w:trPr>
        <w:tc>
          <w:tcPr>
            <w:tcW w:w="198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vAlign w:val="center"/>
          </w:tcPr>
          <w:p w14:paraId="36107FFD" w14:textId="77777777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AE241" w14:textId="4D59762C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g) </w:t>
            </w:r>
            <w:r w:rsidR="00FE1CCB"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C</w:t>
            </w: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ommunication externe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F2B9F5" w14:textId="30FA0945" w:rsidR="00FC1213" w:rsidRPr="004D7242" w:rsidRDefault="00FC1213" w:rsidP="00D7627E">
            <w:pPr>
              <w:spacing w:before="120" w:after="120" w:line="240" w:lineRule="auto"/>
              <w:ind w:left="97"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</w:t>
            </w:r>
            <w:r w:rsidR="00F53B39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’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organisation informe les personnes de leurs droits en matière de </w:t>
            </w:r>
            <w:r w:rsidR="00E26B3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protection des RP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et des mesures de contrôle d</w:t>
            </w:r>
            <w:r w:rsidR="00AE53D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e son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programme </w:t>
            </w:r>
            <w:r w:rsidR="00AE53D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de gouvernance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. </w:t>
            </w:r>
            <w:r w:rsidR="00167ACC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La politique de confidentialité disponible sur le site Internet de l’organisation </w:t>
            </w:r>
            <w:r w:rsidR="008F021E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est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E26B3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rédigé</w:t>
            </w:r>
            <w:r w:rsidR="006A1EC1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</w:t>
            </w:r>
            <w:r w:rsidR="00E26B3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en termes</w:t>
            </w:r>
            <w:r w:rsidR="0003257F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B77ED7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simples et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clair</w:t>
            </w:r>
            <w:r w:rsidR="00B77ED7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s</w:t>
            </w:r>
            <w:r w:rsidR="00D13319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et inclut notamment :</w:t>
            </w:r>
          </w:p>
          <w:p w14:paraId="2F8AC1CD" w14:textId="6862910E" w:rsidR="004131D1" w:rsidRPr="004D7242" w:rsidRDefault="000752FF" w:rsidP="004131D1">
            <w:pPr>
              <w:numPr>
                <w:ilvl w:val="0"/>
                <w:numId w:val="42"/>
              </w:numPr>
              <w:spacing w:before="120" w:after="120" w:line="240" w:lineRule="auto"/>
              <w:ind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Les </w:t>
            </w:r>
            <w:r w:rsidR="009212BB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finalités</w:t>
            </w:r>
            <w:r w:rsidR="004131D1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de la collecte, de l’utilisation et de la communication des RP ainsi que leur protection et durée de rétention;</w:t>
            </w:r>
          </w:p>
          <w:p w14:paraId="7939AD96" w14:textId="77777777" w:rsidR="004131D1" w:rsidRPr="004D7242" w:rsidRDefault="004131D1" w:rsidP="004131D1">
            <w:pPr>
              <w:numPr>
                <w:ilvl w:val="0"/>
                <w:numId w:val="42"/>
              </w:numPr>
              <w:spacing w:before="120" w:after="120" w:line="240" w:lineRule="auto"/>
              <w:ind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Informer les personnes si leurs RP sont communiqués à des tiers et à l’extérieur du Québec;</w:t>
            </w:r>
          </w:p>
          <w:p w14:paraId="734287BA" w14:textId="689CDAC3" w:rsidR="00D13319" w:rsidRPr="004D7242" w:rsidRDefault="001920E5" w:rsidP="001920E5">
            <w:pPr>
              <w:numPr>
                <w:ilvl w:val="0"/>
                <w:numId w:val="42"/>
              </w:numPr>
              <w:spacing w:before="120" w:after="120" w:line="240" w:lineRule="auto"/>
              <w:ind w:right="124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L</w:t>
            </w:r>
            <w:r w:rsidR="004131D1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es coordonnées du </w:t>
            </w:r>
            <w:r w:rsidR="00C451B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</w:t>
            </w:r>
            <w:r w:rsidR="004131D1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esponsable PRP à qui faire part des </w:t>
            </w:r>
            <w:r w:rsidR="006641B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questions, </w:t>
            </w:r>
            <w:r w:rsidR="004D7242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des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demandes ou des plaintes</w:t>
            </w:r>
            <w:r w:rsidR="004131D1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.</w:t>
            </w:r>
          </w:p>
        </w:tc>
      </w:tr>
      <w:tr w:rsidR="00EC4EE6" w:rsidRPr="00456D41" w14:paraId="631C2A27" w14:textId="77777777" w:rsidTr="00635636">
        <w:tc>
          <w:tcPr>
            <w:tcW w:w="949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EDC75" w14:textId="2C817909" w:rsidR="00EC4EE6" w:rsidRPr="004D7242" w:rsidRDefault="003A2F81" w:rsidP="00D4356E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fr-CA"/>
              </w:rPr>
              <w:t>B. Évaluation et révision continues</w:t>
            </w:r>
            <w:r w:rsidR="000D7A55" w:rsidRPr="004D7242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fr-CA"/>
              </w:rPr>
              <w:t xml:space="preserve"> du programme de gouvernance</w:t>
            </w:r>
          </w:p>
        </w:tc>
      </w:tr>
      <w:tr w:rsidR="00FC1213" w:rsidRPr="00456D41" w14:paraId="6E45350D" w14:textId="77777777" w:rsidTr="001418D8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B5338" w14:textId="0278012B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Plan de surveillance et d</w:t>
            </w:r>
            <w:r w:rsidR="003836F3"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e révision</w:t>
            </w:r>
          </w:p>
        </w:tc>
        <w:tc>
          <w:tcPr>
            <w:tcW w:w="7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E3146" w14:textId="488A545A" w:rsidR="00FC1213" w:rsidRPr="004D7242" w:rsidRDefault="001816BF" w:rsidP="00AE53D6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L’organisation a 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élabor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é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un plan de surveillance et de révision annuel qui établit comment 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elle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 surveille et évalue l’efficacité des mesures de contrôle d</w:t>
            </w:r>
            <w:r w:rsidR="00D96C6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 son pro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gramme de </w:t>
            </w:r>
            <w:r w:rsidR="00D96C6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gouvernances des </w:t>
            </w:r>
            <w:r w:rsidR="00D61C8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RP</w:t>
            </w:r>
            <w:r w:rsidR="00FC121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.</w:t>
            </w:r>
          </w:p>
        </w:tc>
      </w:tr>
      <w:tr w:rsidR="00FC1213" w:rsidRPr="00456D41" w14:paraId="24A806DD" w14:textId="77777777" w:rsidTr="001418D8"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11FC4" w14:textId="70008874" w:rsidR="00FC1213" w:rsidRPr="004D7242" w:rsidRDefault="00FC1213" w:rsidP="00D4356E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Évaluer et réviser les mesures de contrôle du programme </w:t>
            </w:r>
            <w:r w:rsidR="00572CF3"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 xml:space="preserve">de </w:t>
            </w:r>
            <w:r w:rsidR="00572CF3"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lastRenderedPageBreak/>
              <w:t xml:space="preserve">gouvernance </w:t>
            </w:r>
            <w:r w:rsidRPr="004D724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fr-CA"/>
              </w:rPr>
              <w:t>au besoin</w:t>
            </w:r>
          </w:p>
        </w:tc>
        <w:tc>
          <w:tcPr>
            <w:tcW w:w="751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C9FB5" w14:textId="7DD2ED6A" w:rsidR="00FC1213" w:rsidRPr="004D7242" w:rsidRDefault="00FC1213" w:rsidP="00D4356E">
            <w:pPr>
              <w:numPr>
                <w:ilvl w:val="0"/>
                <w:numId w:val="40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lastRenderedPageBreak/>
              <w:t>Mettre à jour l’inventaire des RP</w:t>
            </w:r>
            <w:r w:rsidR="00D61C8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0587C630" w14:textId="1FEAEADB" w:rsidR="00FC1213" w:rsidRPr="004D7242" w:rsidRDefault="00FC1213" w:rsidP="00D4356E">
            <w:pPr>
              <w:numPr>
                <w:ilvl w:val="0"/>
                <w:numId w:val="40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Réviser les politiques</w:t>
            </w:r>
            <w:r w:rsidR="00572CF3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, directives et procédures</w:t>
            </w:r>
            <w:r w:rsidR="00D61C8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44CAD456" w14:textId="1240840A" w:rsidR="00FC1213" w:rsidRPr="004D7242" w:rsidRDefault="00FC1213" w:rsidP="00D4356E">
            <w:pPr>
              <w:numPr>
                <w:ilvl w:val="0"/>
                <w:numId w:val="40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lastRenderedPageBreak/>
              <w:t>Traiter les outils d’évaluation du risque comme des documents à caractère évolutif</w:t>
            </w:r>
            <w:r w:rsidR="00D61C8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3440CA39" w14:textId="50163B1D" w:rsidR="00FC1213" w:rsidRPr="004D7242" w:rsidRDefault="00FC1213" w:rsidP="00D4356E">
            <w:pPr>
              <w:numPr>
                <w:ilvl w:val="0"/>
                <w:numId w:val="40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Modifier les cours de formation et de sensibilisation</w:t>
            </w:r>
            <w:r w:rsidR="00D61C8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349AC486" w14:textId="7FE6AC4F" w:rsidR="00FC1213" w:rsidRPr="004D7242" w:rsidRDefault="00FC1213" w:rsidP="00D4356E">
            <w:pPr>
              <w:numPr>
                <w:ilvl w:val="0"/>
                <w:numId w:val="40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Adapter le protocole </w:t>
            </w:r>
            <w:r w:rsidR="009571FA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 xml:space="preserve">de gestion </w:t>
            </w:r>
            <w:r w:rsidR="002316E4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en cas d’</w:t>
            </w: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incident de confidentialité</w:t>
            </w:r>
            <w:r w:rsidR="00D61C8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30721E06" w14:textId="4F6D5EAA" w:rsidR="00FC1213" w:rsidRPr="004D7242" w:rsidRDefault="00FC1213" w:rsidP="00D4356E">
            <w:pPr>
              <w:numPr>
                <w:ilvl w:val="0"/>
                <w:numId w:val="40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Peaufiner la gestion des fournisseurs de services</w:t>
            </w:r>
            <w:r w:rsidR="00D61C8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;</w:t>
            </w:r>
          </w:p>
          <w:p w14:paraId="24F6A1C0" w14:textId="31D58549" w:rsidR="00FC1213" w:rsidRPr="004D7242" w:rsidRDefault="00FC1213" w:rsidP="00D4356E">
            <w:pPr>
              <w:numPr>
                <w:ilvl w:val="0"/>
                <w:numId w:val="40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</w:pPr>
            <w:r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Améliorer les communications externes</w:t>
            </w:r>
            <w:r w:rsidR="00D61C86" w:rsidRPr="004D7242">
              <w:rPr>
                <w:rFonts w:eastAsia="Times New Roman" w:cs="Arial"/>
                <w:color w:val="000000"/>
                <w:sz w:val="20"/>
                <w:szCs w:val="20"/>
                <w:lang w:eastAsia="fr-CA"/>
              </w:rPr>
              <w:t>.</w:t>
            </w:r>
          </w:p>
        </w:tc>
      </w:tr>
    </w:tbl>
    <w:p w14:paraId="3DB7B78B" w14:textId="77777777" w:rsidR="00683DC3" w:rsidRPr="00456D41" w:rsidRDefault="00683DC3" w:rsidP="00AE4DBD">
      <w:pPr>
        <w:pStyle w:val="Corpsdetexte"/>
        <w:spacing w:before="120" w:after="120"/>
        <w:ind w:right="120"/>
        <w:rPr>
          <w:rFonts w:ascii="Georgia" w:hAnsi="Georgia" w:cs="Arial"/>
          <w:b/>
          <w:bCs/>
          <w:color w:val="CC0000"/>
        </w:rPr>
      </w:pPr>
    </w:p>
    <w:sectPr w:rsidR="00683DC3" w:rsidRPr="00456D41" w:rsidSect="008F18F3">
      <w:headerReference w:type="default" r:id="rId11"/>
      <w:footerReference w:type="default" r:id="rId12"/>
      <w:footerReference w:type="first" r:id="rId13"/>
      <w:pgSz w:w="12240" w:h="15840" w:code="1"/>
      <w:pgMar w:top="265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0B75" w14:textId="77777777" w:rsidR="008F18F3" w:rsidRDefault="008F18F3" w:rsidP="0085192C">
      <w:pPr>
        <w:spacing w:after="0" w:line="240" w:lineRule="auto"/>
      </w:pPr>
      <w:r>
        <w:separator/>
      </w:r>
    </w:p>
    <w:p w14:paraId="21953403" w14:textId="77777777" w:rsidR="008F18F3" w:rsidRDefault="008F18F3"/>
    <w:p w14:paraId="73F92CE1" w14:textId="77777777" w:rsidR="008F18F3" w:rsidRDefault="008F18F3"/>
    <w:p w14:paraId="393BB31E" w14:textId="77777777" w:rsidR="008F18F3" w:rsidRDefault="008F18F3"/>
  </w:endnote>
  <w:endnote w:type="continuationSeparator" w:id="0">
    <w:p w14:paraId="1256354D" w14:textId="77777777" w:rsidR="008F18F3" w:rsidRDefault="008F18F3" w:rsidP="0085192C">
      <w:pPr>
        <w:spacing w:after="0" w:line="240" w:lineRule="auto"/>
      </w:pPr>
      <w:r>
        <w:continuationSeparator/>
      </w:r>
    </w:p>
    <w:p w14:paraId="10479514" w14:textId="77777777" w:rsidR="008F18F3" w:rsidRDefault="008F18F3"/>
    <w:p w14:paraId="252EEC65" w14:textId="77777777" w:rsidR="008F18F3" w:rsidRDefault="008F18F3"/>
    <w:p w14:paraId="142FA726" w14:textId="77777777" w:rsidR="008F18F3" w:rsidRDefault="008F1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A15F" w14:textId="77777777" w:rsidR="0085192C" w:rsidRDefault="0085192C">
    <w:pPr>
      <w:pStyle w:val="Pieddepage"/>
    </w:pPr>
  </w:p>
  <w:p w14:paraId="02430039" w14:textId="77777777" w:rsidR="0085192C" w:rsidRDefault="0085192C" w:rsidP="008519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DDF7" w14:textId="77777777" w:rsidR="0085192C" w:rsidRDefault="0085192C">
    <w:pPr>
      <w:pStyle w:val="Pieddepage"/>
    </w:pPr>
  </w:p>
  <w:p w14:paraId="6E10A67B" w14:textId="77777777" w:rsidR="0085192C" w:rsidRDefault="008519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F0F6" w14:textId="77777777" w:rsidR="008F18F3" w:rsidRDefault="008F18F3" w:rsidP="0085192C">
      <w:pPr>
        <w:spacing w:after="0" w:line="240" w:lineRule="auto"/>
      </w:pPr>
      <w:r>
        <w:separator/>
      </w:r>
    </w:p>
    <w:p w14:paraId="1B22FA04" w14:textId="77777777" w:rsidR="008F18F3" w:rsidRDefault="008F18F3" w:rsidP="0085192C">
      <w:pPr>
        <w:spacing w:after="0" w:line="240" w:lineRule="auto"/>
      </w:pPr>
    </w:p>
  </w:footnote>
  <w:footnote w:type="continuationSeparator" w:id="0">
    <w:p w14:paraId="1183090C" w14:textId="77777777" w:rsidR="008F18F3" w:rsidRDefault="008F18F3" w:rsidP="0085192C">
      <w:pPr>
        <w:spacing w:after="0" w:line="240" w:lineRule="auto"/>
      </w:pPr>
      <w:r>
        <w:continuationSeparator/>
      </w:r>
    </w:p>
    <w:p w14:paraId="6AFECA87" w14:textId="77777777" w:rsidR="008F18F3" w:rsidRDefault="008F18F3"/>
    <w:p w14:paraId="4BAC8D96" w14:textId="77777777" w:rsidR="008F18F3" w:rsidRDefault="008F18F3"/>
    <w:p w14:paraId="35C08697" w14:textId="77777777" w:rsidR="008F18F3" w:rsidRDefault="008F1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9A85" w14:textId="77777777" w:rsidR="008B442E" w:rsidRDefault="008B442E" w:rsidP="008B442E">
    <w:pPr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2F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92DC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09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3A1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6EF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C4C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C8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3AF05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FC9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401940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1E556A2"/>
    <w:multiLevelType w:val="multilevel"/>
    <w:tmpl w:val="543E4722"/>
    <w:styleLink w:val="TEST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878787" w:themeColor="accent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26143"/>
    <w:multiLevelType w:val="multilevel"/>
    <w:tmpl w:val="3A06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C807CB"/>
    <w:multiLevelType w:val="hybridMultilevel"/>
    <w:tmpl w:val="28163BEE"/>
    <w:lvl w:ilvl="0" w:tplc="012A0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75757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E5415C"/>
    <w:multiLevelType w:val="hybridMultilevel"/>
    <w:tmpl w:val="99087890"/>
    <w:lvl w:ilvl="0" w:tplc="AD564A1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1127E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8A00DA3"/>
    <w:multiLevelType w:val="multilevel"/>
    <w:tmpl w:val="543E4722"/>
    <w:numStyleLink w:val="TEST"/>
  </w:abstractNum>
  <w:abstractNum w:abstractNumId="15" w15:restartNumberingAfterBreak="0">
    <w:nsid w:val="0A004FEE"/>
    <w:multiLevelType w:val="hybridMultilevel"/>
    <w:tmpl w:val="9942267C"/>
    <w:name w:val="Test22"/>
    <w:lvl w:ilvl="0" w:tplc="04BA92C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878787" w:themeColor="accent3"/>
      </w:rPr>
    </w:lvl>
    <w:lvl w:ilvl="1" w:tplc="0C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0BDC3808"/>
    <w:multiLevelType w:val="multilevel"/>
    <w:tmpl w:val="2B4A013C"/>
    <w:name w:val="Test"/>
    <w:lvl w:ilvl="0">
      <w:start w:val="1"/>
      <w:numFmt w:val="decimal"/>
      <w:isLgl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E7C6190"/>
    <w:multiLevelType w:val="hybridMultilevel"/>
    <w:tmpl w:val="D026ECB2"/>
    <w:lvl w:ilvl="0" w:tplc="368019C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0F258F"/>
    <w:multiLevelType w:val="multilevel"/>
    <w:tmpl w:val="42E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0A6D8B"/>
    <w:multiLevelType w:val="hybridMultilevel"/>
    <w:tmpl w:val="5AE0AA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3E1D4D"/>
    <w:multiLevelType w:val="hybridMultilevel"/>
    <w:tmpl w:val="662AB02A"/>
    <w:lvl w:ilvl="0" w:tplc="9900051C">
      <w:start w:val="1"/>
      <w:numFmt w:val="lowerRoman"/>
      <w:lvlText w:val="%1)"/>
      <w:lvlJc w:val="left"/>
      <w:pPr>
        <w:ind w:left="887" w:hanging="720"/>
      </w:pPr>
      <w:rPr>
        <w:rFonts w:eastAsiaTheme="minorHAnsi" w:hint="default"/>
        <w:color w:val="auto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247" w:hanging="360"/>
      </w:pPr>
    </w:lvl>
    <w:lvl w:ilvl="2" w:tplc="0C0C001B" w:tentative="1">
      <w:start w:val="1"/>
      <w:numFmt w:val="lowerRoman"/>
      <w:lvlText w:val="%3."/>
      <w:lvlJc w:val="right"/>
      <w:pPr>
        <w:ind w:left="1967" w:hanging="180"/>
      </w:pPr>
    </w:lvl>
    <w:lvl w:ilvl="3" w:tplc="0C0C000F" w:tentative="1">
      <w:start w:val="1"/>
      <w:numFmt w:val="decimal"/>
      <w:lvlText w:val="%4."/>
      <w:lvlJc w:val="left"/>
      <w:pPr>
        <w:ind w:left="2687" w:hanging="360"/>
      </w:pPr>
    </w:lvl>
    <w:lvl w:ilvl="4" w:tplc="0C0C0019" w:tentative="1">
      <w:start w:val="1"/>
      <w:numFmt w:val="lowerLetter"/>
      <w:lvlText w:val="%5."/>
      <w:lvlJc w:val="left"/>
      <w:pPr>
        <w:ind w:left="3407" w:hanging="360"/>
      </w:pPr>
    </w:lvl>
    <w:lvl w:ilvl="5" w:tplc="0C0C001B" w:tentative="1">
      <w:start w:val="1"/>
      <w:numFmt w:val="lowerRoman"/>
      <w:lvlText w:val="%6."/>
      <w:lvlJc w:val="right"/>
      <w:pPr>
        <w:ind w:left="4127" w:hanging="180"/>
      </w:pPr>
    </w:lvl>
    <w:lvl w:ilvl="6" w:tplc="0C0C000F" w:tentative="1">
      <w:start w:val="1"/>
      <w:numFmt w:val="decimal"/>
      <w:lvlText w:val="%7."/>
      <w:lvlJc w:val="left"/>
      <w:pPr>
        <w:ind w:left="4847" w:hanging="360"/>
      </w:pPr>
    </w:lvl>
    <w:lvl w:ilvl="7" w:tplc="0C0C0019" w:tentative="1">
      <w:start w:val="1"/>
      <w:numFmt w:val="lowerLetter"/>
      <w:lvlText w:val="%8."/>
      <w:lvlJc w:val="left"/>
      <w:pPr>
        <w:ind w:left="5567" w:hanging="360"/>
      </w:pPr>
    </w:lvl>
    <w:lvl w:ilvl="8" w:tplc="0C0C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1" w15:restartNumberingAfterBreak="0">
    <w:nsid w:val="1EA9713C"/>
    <w:multiLevelType w:val="multilevel"/>
    <w:tmpl w:val="A6BAD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C93EB1"/>
    <w:multiLevelType w:val="hybridMultilevel"/>
    <w:tmpl w:val="32BC9E40"/>
    <w:lvl w:ilvl="0" w:tplc="1506ED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75757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A652DE"/>
    <w:multiLevelType w:val="hybridMultilevel"/>
    <w:tmpl w:val="9468F5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BC56EE"/>
    <w:multiLevelType w:val="multilevel"/>
    <w:tmpl w:val="0C0C001D"/>
    <w:numStyleLink w:val="Style1"/>
  </w:abstractNum>
  <w:abstractNum w:abstractNumId="25" w15:restartNumberingAfterBreak="0">
    <w:nsid w:val="28D52284"/>
    <w:multiLevelType w:val="hybridMultilevel"/>
    <w:tmpl w:val="979808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432652"/>
    <w:multiLevelType w:val="hybridMultilevel"/>
    <w:tmpl w:val="D4FA0D66"/>
    <w:lvl w:ilvl="0" w:tplc="577CB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8787" w:themeColor="accent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E32BA"/>
    <w:multiLevelType w:val="hybridMultilevel"/>
    <w:tmpl w:val="7AC44234"/>
    <w:lvl w:ilvl="0" w:tplc="0C0C001B">
      <w:start w:val="1"/>
      <w:numFmt w:val="low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2634"/>
    <w:multiLevelType w:val="multilevel"/>
    <w:tmpl w:val="A2C6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4363BE"/>
    <w:multiLevelType w:val="hybridMultilevel"/>
    <w:tmpl w:val="33BC0A52"/>
    <w:lvl w:ilvl="0" w:tplc="6324C604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654" w:hanging="360"/>
      </w:pPr>
    </w:lvl>
    <w:lvl w:ilvl="2" w:tplc="0C0C001B" w:tentative="1">
      <w:start w:val="1"/>
      <w:numFmt w:val="lowerRoman"/>
      <w:lvlText w:val="%3."/>
      <w:lvlJc w:val="right"/>
      <w:pPr>
        <w:ind w:left="1374" w:hanging="180"/>
      </w:pPr>
    </w:lvl>
    <w:lvl w:ilvl="3" w:tplc="0C0C000F" w:tentative="1">
      <w:start w:val="1"/>
      <w:numFmt w:val="decimal"/>
      <w:lvlText w:val="%4."/>
      <w:lvlJc w:val="left"/>
      <w:pPr>
        <w:ind w:left="2094" w:hanging="360"/>
      </w:pPr>
    </w:lvl>
    <w:lvl w:ilvl="4" w:tplc="0C0C0019" w:tentative="1">
      <w:start w:val="1"/>
      <w:numFmt w:val="lowerLetter"/>
      <w:lvlText w:val="%5."/>
      <w:lvlJc w:val="left"/>
      <w:pPr>
        <w:ind w:left="2814" w:hanging="360"/>
      </w:pPr>
    </w:lvl>
    <w:lvl w:ilvl="5" w:tplc="0C0C001B" w:tentative="1">
      <w:start w:val="1"/>
      <w:numFmt w:val="lowerRoman"/>
      <w:lvlText w:val="%6."/>
      <w:lvlJc w:val="right"/>
      <w:pPr>
        <w:ind w:left="3534" w:hanging="180"/>
      </w:pPr>
    </w:lvl>
    <w:lvl w:ilvl="6" w:tplc="0C0C000F" w:tentative="1">
      <w:start w:val="1"/>
      <w:numFmt w:val="decimal"/>
      <w:lvlText w:val="%7."/>
      <w:lvlJc w:val="left"/>
      <w:pPr>
        <w:ind w:left="4254" w:hanging="360"/>
      </w:pPr>
    </w:lvl>
    <w:lvl w:ilvl="7" w:tplc="0C0C0019" w:tentative="1">
      <w:start w:val="1"/>
      <w:numFmt w:val="lowerLetter"/>
      <w:lvlText w:val="%8."/>
      <w:lvlJc w:val="left"/>
      <w:pPr>
        <w:ind w:left="4974" w:hanging="360"/>
      </w:pPr>
    </w:lvl>
    <w:lvl w:ilvl="8" w:tplc="0C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430F58F0"/>
    <w:multiLevelType w:val="multilevel"/>
    <w:tmpl w:val="0C0C001D"/>
    <w:numStyleLink w:val="Style1"/>
  </w:abstractNum>
  <w:abstractNum w:abstractNumId="31" w15:restartNumberingAfterBreak="0">
    <w:nsid w:val="44DF5896"/>
    <w:multiLevelType w:val="multilevel"/>
    <w:tmpl w:val="840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7C650A"/>
    <w:multiLevelType w:val="multilevel"/>
    <w:tmpl w:val="219A60B6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02782A"/>
    <w:multiLevelType w:val="multilevel"/>
    <w:tmpl w:val="8B9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D160E9"/>
    <w:multiLevelType w:val="multilevel"/>
    <w:tmpl w:val="0C0C001D"/>
    <w:name w:val="Test2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878787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5113B67"/>
    <w:multiLevelType w:val="hybridMultilevel"/>
    <w:tmpl w:val="43C42822"/>
    <w:lvl w:ilvl="0" w:tplc="0C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6" w15:restartNumberingAfterBreak="0">
    <w:nsid w:val="57C159EB"/>
    <w:multiLevelType w:val="multilevel"/>
    <w:tmpl w:val="922E8B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39201D"/>
    <w:multiLevelType w:val="multilevel"/>
    <w:tmpl w:val="40EABD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878787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C5459A7"/>
    <w:multiLevelType w:val="multilevel"/>
    <w:tmpl w:val="4A5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E63DC2"/>
    <w:multiLevelType w:val="multilevel"/>
    <w:tmpl w:val="4A866C70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4312B"/>
    <w:multiLevelType w:val="hybridMultilevel"/>
    <w:tmpl w:val="0DD89968"/>
    <w:lvl w:ilvl="0" w:tplc="58C27A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C28B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A862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7C9F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CC00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A002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E4C0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7CDF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6885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C06256"/>
    <w:multiLevelType w:val="hybridMultilevel"/>
    <w:tmpl w:val="977615C2"/>
    <w:lvl w:ilvl="0" w:tplc="2A8CA95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575757" w:themeColor="tex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03FB0"/>
    <w:multiLevelType w:val="singleLevel"/>
    <w:tmpl w:val="A4DAC74A"/>
    <w:name w:val="Test2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</w:abstractNum>
  <w:abstractNum w:abstractNumId="43" w15:restartNumberingAfterBreak="0">
    <w:nsid w:val="6AF753B5"/>
    <w:multiLevelType w:val="multilevel"/>
    <w:tmpl w:val="1B52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9543C0"/>
    <w:multiLevelType w:val="hybridMultilevel"/>
    <w:tmpl w:val="9A60FEA8"/>
    <w:lvl w:ilvl="0" w:tplc="C578FE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AFC827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8AD1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74C8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A649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607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D89F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6E42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86C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960193"/>
    <w:multiLevelType w:val="hybridMultilevel"/>
    <w:tmpl w:val="EFD6A6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85AED"/>
    <w:multiLevelType w:val="hybridMultilevel"/>
    <w:tmpl w:val="DE46A320"/>
    <w:lvl w:ilvl="0" w:tplc="A6848C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A6A6" w:themeColor="background1" w:themeShade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D2723"/>
    <w:multiLevelType w:val="multilevel"/>
    <w:tmpl w:val="543E4722"/>
    <w:numStyleLink w:val="TEST"/>
  </w:abstractNum>
  <w:num w:numId="1" w16cid:durableId="517040175">
    <w:abstractNumId w:val="46"/>
  </w:num>
  <w:num w:numId="2" w16cid:durableId="586228109">
    <w:abstractNumId w:val="44"/>
  </w:num>
  <w:num w:numId="3" w16cid:durableId="565454245">
    <w:abstractNumId w:val="22"/>
  </w:num>
  <w:num w:numId="4" w16cid:durableId="878668521">
    <w:abstractNumId w:val="41"/>
  </w:num>
  <w:num w:numId="5" w16cid:durableId="813445634">
    <w:abstractNumId w:val="17"/>
  </w:num>
  <w:num w:numId="6" w16cid:durableId="1796177429">
    <w:abstractNumId w:val="39"/>
  </w:num>
  <w:num w:numId="7" w16cid:durableId="35589324">
    <w:abstractNumId w:val="14"/>
  </w:num>
  <w:num w:numId="8" w16cid:durableId="488791017">
    <w:abstractNumId w:val="14"/>
    <w:lvlOverride w:ilvl="0">
      <w:lvl w:ilvl="0">
        <w:start w:val="1"/>
        <w:numFmt w:val="bullet"/>
        <w:lvlText w:val="–"/>
        <w:lvlJc w:val="left"/>
        <w:pPr>
          <w:ind w:left="360" w:hanging="360"/>
        </w:pPr>
        <w:rPr>
          <w:rFonts w:ascii="Arial" w:hAnsi="Arial" w:hint="default"/>
          <w:color w:val="auto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1440" w:hanging="360"/>
        </w:pPr>
        <w:rPr>
          <w:rFonts w:ascii="Courier New" w:hAnsi="Courier New" w:hint="default"/>
          <w:color w:val="878787" w:themeColor="accent3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605121098">
    <w:abstractNumId w:val="10"/>
  </w:num>
  <w:num w:numId="10" w16cid:durableId="74473342">
    <w:abstractNumId w:val="47"/>
  </w:num>
  <w:num w:numId="11" w16cid:durableId="148788426">
    <w:abstractNumId w:val="13"/>
  </w:num>
  <w:num w:numId="12" w16cid:durableId="223370437">
    <w:abstractNumId w:val="12"/>
  </w:num>
  <w:num w:numId="13" w16cid:durableId="786972954">
    <w:abstractNumId w:val="34"/>
  </w:num>
  <w:num w:numId="14" w16cid:durableId="1740906397">
    <w:abstractNumId w:val="24"/>
  </w:num>
  <w:num w:numId="15" w16cid:durableId="1550455573">
    <w:abstractNumId w:val="40"/>
  </w:num>
  <w:num w:numId="16" w16cid:durableId="607280146">
    <w:abstractNumId w:val="16"/>
  </w:num>
  <w:num w:numId="17" w16cid:durableId="1959994102">
    <w:abstractNumId w:val="26"/>
  </w:num>
  <w:num w:numId="18" w16cid:durableId="1219051302">
    <w:abstractNumId w:val="30"/>
  </w:num>
  <w:num w:numId="19" w16cid:durableId="902451199">
    <w:abstractNumId w:val="32"/>
  </w:num>
  <w:num w:numId="20" w16cid:durableId="7383314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3449440">
    <w:abstractNumId w:val="37"/>
  </w:num>
  <w:num w:numId="22" w16cid:durableId="296767706">
    <w:abstractNumId w:val="42"/>
  </w:num>
  <w:num w:numId="23" w16cid:durableId="535780044">
    <w:abstractNumId w:val="15"/>
  </w:num>
  <w:num w:numId="24" w16cid:durableId="2117291372">
    <w:abstractNumId w:val="8"/>
  </w:num>
  <w:num w:numId="25" w16cid:durableId="937521045">
    <w:abstractNumId w:val="3"/>
  </w:num>
  <w:num w:numId="26" w16cid:durableId="1885143683">
    <w:abstractNumId w:val="2"/>
  </w:num>
  <w:num w:numId="27" w16cid:durableId="861939657">
    <w:abstractNumId w:val="1"/>
  </w:num>
  <w:num w:numId="28" w16cid:durableId="1472946538">
    <w:abstractNumId w:val="0"/>
  </w:num>
  <w:num w:numId="29" w16cid:durableId="726878647">
    <w:abstractNumId w:val="9"/>
  </w:num>
  <w:num w:numId="30" w16cid:durableId="1426850276">
    <w:abstractNumId w:val="7"/>
  </w:num>
  <w:num w:numId="31" w16cid:durableId="790787191">
    <w:abstractNumId w:val="6"/>
  </w:num>
  <w:num w:numId="32" w16cid:durableId="1761560122">
    <w:abstractNumId w:val="5"/>
  </w:num>
  <w:num w:numId="33" w16cid:durableId="1309937281">
    <w:abstractNumId w:val="4"/>
  </w:num>
  <w:num w:numId="34" w16cid:durableId="169100069">
    <w:abstractNumId w:val="27"/>
  </w:num>
  <w:num w:numId="35" w16cid:durableId="1446658356">
    <w:abstractNumId w:val="21"/>
  </w:num>
  <w:num w:numId="36" w16cid:durableId="993141491">
    <w:abstractNumId w:val="11"/>
  </w:num>
  <w:num w:numId="37" w16cid:durableId="1825537923">
    <w:abstractNumId w:val="31"/>
  </w:num>
  <w:num w:numId="38" w16cid:durableId="336470317">
    <w:abstractNumId w:val="43"/>
  </w:num>
  <w:num w:numId="39" w16cid:durableId="2003897059">
    <w:abstractNumId w:val="36"/>
  </w:num>
  <w:num w:numId="40" w16cid:durableId="1680766508">
    <w:abstractNumId w:val="28"/>
  </w:num>
  <w:num w:numId="41" w16cid:durableId="1464883902">
    <w:abstractNumId w:val="38"/>
  </w:num>
  <w:num w:numId="42" w16cid:durableId="2107726307">
    <w:abstractNumId w:val="33"/>
  </w:num>
  <w:num w:numId="43" w16cid:durableId="1088772891">
    <w:abstractNumId w:val="29"/>
  </w:num>
  <w:num w:numId="44" w16cid:durableId="1467550080">
    <w:abstractNumId w:val="19"/>
  </w:num>
  <w:num w:numId="45" w16cid:durableId="2013600056">
    <w:abstractNumId w:val="23"/>
  </w:num>
  <w:num w:numId="46" w16cid:durableId="1257665220">
    <w:abstractNumId w:val="25"/>
  </w:num>
  <w:num w:numId="47" w16cid:durableId="463274427">
    <w:abstractNumId w:val="18"/>
  </w:num>
  <w:num w:numId="48" w16cid:durableId="394426812">
    <w:abstractNumId w:val="45"/>
  </w:num>
  <w:num w:numId="49" w16cid:durableId="1527984042">
    <w:abstractNumId w:val="35"/>
  </w:num>
  <w:num w:numId="50" w16cid:durableId="12974166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2C"/>
    <w:rsid w:val="00002A7B"/>
    <w:rsid w:val="00005CA4"/>
    <w:rsid w:val="00005F69"/>
    <w:rsid w:val="00007101"/>
    <w:rsid w:val="00021601"/>
    <w:rsid w:val="00021B5C"/>
    <w:rsid w:val="00027011"/>
    <w:rsid w:val="0003257F"/>
    <w:rsid w:val="000512AD"/>
    <w:rsid w:val="00054376"/>
    <w:rsid w:val="0006025C"/>
    <w:rsid w:val="00061578"/>
    <w:rsid w:val="00064CFE"/>
    <w:rsid w:val="0006752A"/>
    <w:rsid w:val="00073DB4"/>
    <w:rsid w:val="000752FF"/>
    <w:rsid w:val="00075AAA"/>
    <w:rsid w:val="000930A1"/>
    <w:rsid w:val="00096D8E"/>
    <w:rsid w:val="000A0E10"/>
    <w:rsid w:val="000A17A0"/>
    <w:rsid w:val="000A1A54"/>
    <w:rsid w:val="000B7DB8"/>
    <w:rsid w:val="000C2A69"/>
    <w:rsid w:val="000D7A55"/>
    <w:rsid w:val="000E006E"/>
    <w:rsid w:val="000E06F2"/>
    <w:rsid w:val="00100BD8"/>
    <w:rsid w:val="00102AAD"/>
    <w:rsid w:val="0011154C"/>
    <w:rsid w:val="0011535D"/>
    <w:rsid w:val="0013028F"/>
    <w:rsid w:val="00132E55"/>
    <w:rsid w:val="00140890"/>
    <w:rsid w:val="001418D8"/>
    <w:rsid w:val="001428CA"/>
    <w:rsid w:val="00144BF7"/>
    <w:rsid w:val="00155591"/>
    <w:rsid w:val="00156D83"/>
    <w:rsid w:val="00161ADE"/>
    <w:rsid w:val="001629E8"/>
    <w:rsid w:val="00166304"/>
    <w:rsid w:val="00167ACC"/>
    <w:rsid w:val="00172CD0"/>
    <w:rsid w:val="001816BF"/>
    <w:rsid w:val="00183842"/>
    <w:rsid w:val="001920E5"/>
    <w:rsid w:val="001A197E"/>
    <w:rsid w:val="001A1EC3"/>
    <w:rsid w:val="001A4DBC"/>
    <w:rsid w:val="001A63B6"/>
    <w:rsid w:val="001B7D53"/>
    <w:rsid w:val="001C35D4"/>
    <w:rsid w:val="001C5087"/>
    <w:rsid w:val="001D00E7"/>
    <w:rsid w:val="001D028F"/>
    <w:rsid w:val="001D3AF8"/>
    <w:rsid w:val="001D4F13"/>
    <w:rsid w:val="001D529A"/>
    <w:rsid w:val="001E74F9"/>
    <w:rsid w:val="00213643"/>
    <w:rsid w:val="00226E31"/>
    <w:rsid w:val="00227272"/>
    <w:rsid w:val="002316E4"/>
    <w:rsid w:val="0023578B"/>
    <w:rsid w:val="00241510"/>
    <w:rsid w:val="002465E4"/>
    <w:rsid w:val="002539FD"/>
    <w:rsid w:val="00262564"/>
    <w:rsid w:val="00266F2C"/>
    <w:rsid w:val="00276241"/>
    <w:rsid w:val="002858E0"/>
    <w:rsid w:val="00287D42"/>
    <w:rsid w:val="0029159E"/>
    <w:rsid w:val="002A42A8"/>
    <w:rsid w:val="002B364E"/>
    <w:rsid w:val="002B7A39"/>
    <w:rsid w:val="002B7A74"/>
    <w:rsid w:val="002C66D9"/>
    <w:rsid w:val="002E743E"/>
    <w:rsid w:val="002F30E0"/>
    <w:rsid w:val="00301663"/>
    <w:rsid w:val="00306753"/>
    <w:rsid w:val="00314FA7"/>
    <w:rsid w:val="0031522B"/>
    <w:rsid w:val="00320553"/>
    <w:rsid w:val="0033289E"/>
    <w:rsid w:val="003331DF"/>
    <w:rsid w:val="00335758"/>
    <w:rsid w:val="00345934"/>
    <w:rsid w:val="00350D3C"/>
    <w:rsid w:val="00353F54"/>
    <w:rsid w:val="00355878"/>
    <w:rsid w:val="003645A7"/>
    <w:rsid w:val="003721F0"/>
    <w:rsid w:val="0037328E"/>
    <w:rsid w:val="0037444D"/>
    <w:rsid w:val="00375856"/>
    <w:rsid w:val="003836F3"/>
    <w:rsid w:val="003842E5"/>
    <w:rsid w:val="003913C7"/>
    <w:rsid w:val="00392176"/>
    <w:rsid w:val="00392D42"/>
    <w:rsid w:val="00392D54"/>
    <w:rsid w:val="003A2014"/>
    <w:rsid w:val="003A268D"/>
    <w:rsid w:val="003A2F81"/>
    <w:rsid w:val="003A3F5F"/>
    <w:rsid w:val="003B3050"/>
    <w:rsid w:val="003C792C"/>
    <w:rsid w:val="003E1661"/>
    <w:rsid w:val="003E399F"/>
    <w:rsid w:val="0040177A"/>
    <w:rsid w:val="00403B59"/>
    <w:rsid w:val="00411B2C"/>
    <w:rsid w:val="00412AC5"/>
    <w:rsid w:val="004131D1"/>
    <w:rsid w:val="00413FDC"/>
    <w:rsid w:val="004263E5"/>
    <w:rsid w:val="00431222"/>
    <w:rsid w:val="00432340"/>
    <w:rsid w:val="00441926"/>
    <w:rsid w:val="004422EF"/>
    <w:rsid w:val="004439EE"/>
    <w:rsid w:val="00446E3B"/>
    <w:rsid w:val="00456D41"/>
    <w:rsid w:val="0046057E"/>
    <w:rsid w:val="00462129"/>
    <w:rsid w:val="00481395"/>
    <w:rsid w:val="004819EC"/>
    <w:rsid w:val="00481C82"/>
    <w:rsid w:val="00491254"/>
    <w:rsid w:val="00492C3B"/>
    <w:rsid w:val="004A53B5"/>
    <w:rsid w:val="004B4631"/>
    <w:rsid w:val="004B6527"/>
    <w:rsid w:val="004B662A"/>
    <w:rsid w:val="004C121D"/>
    <w:rsid w:val="004C3F39"/>
    <w:rsid w:val="004C4BDD"/>
    <w:rsid w:val="004C7000"/>
    <w:rsid w:val="004D1736"/>
    <w:rsid w:val="004D4EFF"/>
    <w:rsid w:val="004D7242"/>
    <w:rsid w:val="004F0AC8"/>
    <w:rsid w:val="004F0C1A"/>
    <w:rsid w:val="004F1C26"/>
    <w:rsid w:val="004F515F"/>
    <w:rsid w:val="005017E7"/>
    <w:rsid w:val="00506F1F"/>
    <w:rsid w:val="005113CD"/>
    <w:rsid w:val="0052138F"/>
    <w:rsid w:val="0052271C"/>
    <w:rsid w:val="0052474C"/>
    <w:rsid w:val="005267B3"/>
    <w:rsid w:val="00527844"/>
    <w:rsid w:val="0053091D"/>
    <w:rsid w:val="0053341B"/>
    <w:rsid w:val="00534AC0"/>
    <w:rsid w:val="00541098"/>
    <w:rsid w:val="005474B8"/>
    <w:rsid w:val="00553392"/>
    <w:rsid w:val="00561F42"/>
    <w:rsid w:val="00572CF3"/>
    <w:rsid w:val="00573B9A"/>
    <w:rsid w:val="00577C91"/>
    <w:rsid w:val="005B0755"/>
    <w:rsid w:val="005C307B"/>
    <w:rsid w:val="005E3B0C"/>
    <w:rsid w:val="005E5A26"/>
    <w:rsid w:val="005F0FE0"/>
    <w:rsid w:val="00600931"/>
    <w:rsid w:val="00604CF9"/>
    <w:rsid w:val="00614F64"/>
    <w:rsid w:val="00624EF6"/>
    <w:rsid w:val="00625F28"/>
    <w:rsid w:val="0063561D"/>
    <w:rsid w:val="00635636"/>
    <w:rsid w:val="00635988"/>
    <w:rsid w:val="00641165"/>
    <w:rsid w:val="00645A58"/>
    <w:rsid w:val="00657C56"/>
    <w:rsid w:val="006641B4"/>
    <w:rsid w:val="00667C62"/>
    <w:rsid w:val="0067226F"/>
    <w:rsid w:val="0067514F"/>
    <w:rsid w:val="006758FC"/>
    <w:rsid w:val="00682C90"/>
    <w:rsid w:val="00683DC3"/>
    <w:rsid w:val="00686106"/>
    <w:rsid w:val="0069441E"/>
    <w:rsid w:val="006A1EC1"/>
    <w:rsid w:val="006B22A8"/>
    <w:rsid w:val="006C0B31"/>
    <w:rsid w:val="006D18D5"/>
    <w:rsid w:val="006E21C1"/>
    <w:rsid w:val="006E2CA7"/>
    <w:rsid w:val="006F64E9"/>
    <w:rsid w:val="00701A46"/>
    <w:rsid w:val="00713DE4"/>
    <w:rsid w:val="00720C3F"/>
    <w:rsid w:val="00722324"/>
    <w:rsid w:val="00723755"/>
    <w:rsid w:val="00763F58"/>
    <w:rsid w:val="007733BE"/>
    <w:rsid w:val="00780968"/>
    <w:rsid w:val="007903B4"/>
    <w:rsid w:val="007A1B14"/>
    <w:rsid w:val="007A20FE"/>
    <w:rsid w:val="007A5B77"/>
    <w:rsid w:val="007B0CE2"/>
    <w:rsid w:val="007B11B4"/>
    <w:rsid w:val="007B6696"/>
    <w:rsid w:val="007D4E27"/>
    <w:rsid w:val="007F4B55"/>
    <w:rsid w:val="00802F58"/>
    <w:rsid w:val="00816AB3"/>
    <w:rsid w:val="00816F32"/>
    <w:rsid w:val="00817EAA"/>
    <w:rsid w:val="0082291A"/>
    <w:rsid w:val="008307D4"/>
    <w:rsid w:val="0083567B"/>
    <w:rsid w:val="00840242"/>
    <w:rsid w:val="00840473"/>
    <w:rsid w:val="00845636"/>
    <w:rsid w:val="008458E0"/>
    <w:rsid w:val="0085192C"/>
    <w:rsid w:val="00856B4C"/>
    <w:rsid w:val="00856D2C"/>
    <w:rsid w:val="008601A0"/>
    <w:rsid w:val="00861E84"/>
    <w:rsid w:val="008662F8"/>
    <w:rsid w:val="00867EE4"/>
    <w:rsid w:val="00874725"/>
    <w:rsid w:val="00882975"/>
    <w:rsid w:val="0089503D"/>
    <w:rsid w:val="008A1AE3"/>
    <w:rsid w:val="008A6085"/>
    <w:rsid w:val="008B0A79"/>
    <w:rsid w:val="008B442E"/>
    <w:rsid w:val="008B4A90"/>
    <w:rsid w:val="008B5582"/>
    <w:rsid w:val="008B71CB"/>
    <w:rsid w:val="008B7CB8"/>
    <w:rsid w:val="008D17B1"/>
    <w:rsid w:val="008F021E"/>
    <w:rsid w:val="008F18F3"/>
    <w:rsid w:val="008F4489"/>
    <w:rsid w:val="008F500A"/>
    <w:rsid w:val="008F6539"/>
    <w:rsid w:val="00911511"/>
    <w:rsid w:val="009119AC"/>
    <w:rsid w:val="00917544"/>
    <w:rsid w:val="009204F5"/>
    <w:rsid w:val="009212BB"/>
    <w:rsid w:val="00927C5D"/>
    <w:rsid w:val="00933EAD"/>
    <w:rsid w:val="00940B23"/>
    <w:rsid w:val="009422F8"/>
    <w:rsid w:val="009464A4"/>
    <w:rsid w:val="009571FA"/>
    <w:rsid w:val="00967F6E"/>
    <w:rsid w:val="00972361"/>
    <w:rsid w:val="009830C7"/>
    <w:rsid w:val="0099538B"/>
    <w:rsid w:val="009A3D38"/>
    <w:rsid w:val="009C2843"/>
    <w:rsid w:val="009D64C5"/>
    <w:rsid w:val="009E23D6"/>
    <w:rsid w:val="009E6311"/>
    <w:rsid w:val="009F0BF8"/>
    <w:rsid w:val="00A01300"/>
    <w:rsid w:val="00A02CCB"/>
    <w:rsid w:val="00A05E43"/>
    <w:rsid w:val="00A06150"/>
    <w:rsid w:val="00A16A60"/>
    <w:rsid w:val="00A17F4B"/>
    <w:rsid w:val="00A21370"/>
    <w:rsid w:val="00A22C55"/>
    <w:rsid w:val="00A2380D"/>
    <w:rsid w:val="00A43B10"/>
    <w:rsid w:val="00A46B82"/>
    <w:rsid w:val="00A65760"/>
    <w:rsid w:val="00A70B11"/>
    <w:rsid w:val="00A7388A"/>
    <w:rsid w:val="00A73C4F"/>
    <w:rsid w:val="00A8094D"/>
    <w:rsid w:val="00A91EDB"/>
    <w:rsid w:val="00AA4DDC"/>
    <w:rsid w:val="00AA773D"/>
    <w:rsid w:val="00AB0742"/>
    <w:rsid w:val="00AB2992"/>
    <w:rsid w:val="00AB2E38"/>
    <w:rsid w:val="00AC3461"/>
    <w:rsid w:val="00AC417E"/>
    <w:rsid w:val="00AD2140"/>
    <w:rsid w:val="00AD3799"/>
    <w:rsid w:val="00AD70C8"/>
    <w:rsid w:val="00AE4DBD"/>
    <w:rsid w:val="00AE53D6"/>
    <w:rsid w:val="00AE599E"/>
    <w:rsid w:val="00AF0281"/>
    <w:rsid w:val="00AF1B32"/>
    <w:rsid w:val="00AF5C65"/>
    <w:rsid w:val="00AF638B"/>
    <w:rsid w:val="00B06B9C"/>
    <w:rsid w:val="00B078BD"/>
    <w:rsid w:val="00B07DF3"/>
    <w:rsid w:val="00B12558"/>
    <w:rsid w:val="00B13AC7"/>
    <w:rsid w:val="00B3689B"/>
    <w:rsid w:val="00B52370"/>
    <w:rsid w:val="00B53CBE"/>
    <w:rsid w:val="00B57B31"/>
    <w:rsid w:val="00B76D20"/>
    <w:rsid w:val="00B77ED7"/>
    <w:rsid w:val="00B9309F"/>
    <w:rsid w:val="00B9444C"/>
    <w:rsid w:val="00BB0F83"/>
    <w:rsid w:val="00BB2B97"/>
    <w:rsid w:val="00BB3A0B"/>
    <w:rsid w:val="00BB6514"/>
    <w:rsid w:val="00BC427E"/>
    <w:rsid w:val="00BC4D84"/>
    <w:rsid w:val="00BD5E23"/>
    <w:rsid w:val="00BD6B4C"/>
    <w:rsid w:val="00BE2487"/>
    <w:rsid w:val="00BE5195"/>
    <w:rsid w:val="00BE69A8"/>
    <w:rsid w:val="00BF196B"/>
    <w:rsid w:val="00BF1A9D"/>
    <w:rsid w:val="00BF1C1F"/>
    <w:rsid w:val="00BF41FD"/>
    <w:rsid w:val="00BF5F8B"/>
    <w:rsid w:val="00C07AA4"/>
    <w:rsid w:val="00C2059E"/>
    <w:rsid w:val="00C27060"/>
    <w:rsid w:val="00C3020B"/>
    <w:rsid w:val="00C37594"/>
    <w:rsid w:val="00C451B4"/>
    <w:rsid w:val="00C53CD3"/>
    <w:rsid w:val="00C54571"/>
    <w:rsid w:val="00C57395"/>
    <w:rsid w:val="00C578F1"/>
    <w:rsid w:val="00C64429"/>
    <w:rsid w:val="00C90ACD"/>
    <w:rsid w:val="00C93447"/>
    <w:rsid w:val="00C9769F"/>
    <w:rsid w:val="00CA1DB9"/>
    <w:rsid w:val="00CB11E3"/>
    <w:rsid w:val="00CB50CF"/>
    <w:rsid w:val="00CB64DD"/>
    <w:rsid w:val="00CC3B46"/>
    <w:rsid w:val="00CD5E6C"/>
    <w:rsid w:val="00CE5BD6"/>
    <w:rsid w:val="00CF0D84"/>
    <w:rsid w:val="00CF1679"/>
    <w:rsid w:val="00CF23A5"/>
    <w:rsid w:val="00D03D40"/>
    <w:rsid w:val="00D13319"/>
    <w:rsid w:val="00D2201A"/>
    <w:rsid w:val="00D227C3"/>
    <w:rsid w:val="00D26549"/>
    <w:rsid w:val="00D27CD2"/>
    <w:rsid w:val="00D303F8"/>
    <w:rsid w:val="00D4356E"/>
    <w:rsid w:val="00D444C4"/>
    <w:rsid w:val="00D50777"/>
    <w:rsid w:val="00D547D2"/>
    <w:rsid w:val="00D60679"/>
    <w:rsid w:val="00D60A81"/>
    <w:rsid w:val="00D60D9C"/>
    <w:rsid w:val="00D6106B"/>
    <w:rsid w:val="00D61C86"/>
    <w:rsid w:val="00D7627E"/>
    <w:rsid w:val="00D85EC0"/>
    <w:rsid w:val="00D87B69"/>
    <w:rsid w:val="00D96C66"/>
    <w:rsid w:val="00DA21AF"/>
    <w:rsid w:val="00DB3E36"/>
    <w:rsid w:val="00DB4333"/>
    <w:rsid w:val="00DB48F6"/>
    <w:rsid w:val="00DC165F"/>
    <w:rsid w:val="00DC3A95"/>
    <w:rsid w:val="00DC41ED"/>
    <w:rsid w:val="00DC5055"/>
    <w:rsid w:val="00DC6E2F"/>
    <w:rsid w:val="00DE3D8E"/>
    <w:rsid w:val="00DE62BD"/>
    <w:rsid w:val="00E02029"/>
    <w:rsid w:val="00E2301A"/>
    <w:rsid w:val="00E26B34"/>
    <w:rsid w:val="00E273B4"/>
    <w:rsid w:val="00E3662B"/>
    <w:rsid w:val="00E3759E"/>
    <w:rsid w:val="00E44AE2"/>
    <w:rsid w:val="00E474A3"/>
    <w:rsid w:val="00E4784C"/>
    <w:rsid w:val="00E63A9E"/>
    <w:rsid w:val="00E668C4"/>
    <w:rsid w:val="00E71A38"/>
    <w:rsid w:val="00E81268"/>
    <w:rsid w:val="00E963E3"/>
    <w:rsid w:val="00EA1EBC"/>
    <w:rsid w:val="00EA46A3"/>
    <w:rsid w:val="00EB2FCE"/>
    <w:rsid w:val="00EC4EE6"/>
    <w:rsid w:val="00ED051A"/>
    <w:rsid w:val="00ED4D87"/>
    <w:rsid w:val="00EF0D23"/>
    <w:rsid w:val="00F07BA7"/>
    <w:rsid w:val="00F135C4"/>
    <w:rsid w:val="00F26543"/>
    <w:rsid w:val="00F37113"/>
    <w:rsid w:val="00F46769"/>
    <w:rsid w:val="00F51C14"/>
    <w:rsid w:val="00F53B39"/>
    <w:rsid w:val="00F71B86"/>
    <w:rsid w:val="00F73023"/>
    <w:rsid w:val="00F832A4"/>
    <w:rsid w:val="00F877A8"/>
    <w:rsid w:val="00FA02C2"/>
    <w:rsid w:val="00FB097B"/>
    <w:rsid w:val="00FB3C79"/>
    <w:rsid w:val="00FC1213"/>
    <w:rsid w:val="00FC760E"/>
    <w:rsid w:val="00FE1CCB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374A"/>
  <w15:chartTrackingRefBased/>
  <w15:docId w15:val="{233EF122-BA1B-479A-B39E-F03D3BF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43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007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A291C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7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A291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19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92C"/>
  </w:style>
  <w:style w:type="paragraph" w:styleId="Pieddepage">
    <w:name w:val="footer"/>
    <w:link w:val="PieddepageCar"/>
    <w:uiPriority w:val="99"/>
    <w:unhideWhenUsed/>
    <w:rsid w:val="003B3050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color w:val="DA291C" w:themeColor="accent1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3B3050"/>
    <w:rPr>
      <w:rFonts w:ascii="Arial" w:hAnsi="Arial"/>
      <w:color w:val="DA291C" w:themeColor="accent1"/>
      <w:sz w:val="14"/>
    </w:rPr>
  </w:style>
  <w:style w:type="table" w:styleId="Grilledutableau">
    <w:name w:val="Table Grid"/>
    <w:basedOn w:val="TableauNormal"/>
    <w:uiPriority w:val="39"/>
    <w:rsid w:val="0085192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web">
    <w:name w:val="Site web"/>
    <w:basedOn w:val="Normal"/>
    <w:rsid w:val="003B3050"/>
    <w:pPr>
      <w:spacing w:before="90" w:after="0" w:line="240" w:lineRule="auto"/>
      <w:jc w:val="right"/>
    </w:pPr>
    <w:rPr>
      <w:rFonts w:cs="Arial"/>
      <w:b/>
      <w:color w:val="DA291C" w:themeColor="accent1"/>
      <w:sz w:val="14"/>
      <w:szCs w:val="13"/>
    </w:rPr>
  </w:style>
  <w:style w:type="paragraph" w:customStyle="1" w:styleId="Modeacheminement-Natureenvoi">
    <w:name w:val="Mode acheminement - Nature envoi"/>
    <w:next w:val="Normal"/>
    <w:rsid w:val="00840473"/>
    <w:pPr>
      <w:spacing w:after="0" w:line="240" w:lineRule="auto"/>
      <w:jc w:val="both"/>
    </w:pPr>
    <w:rPr>
      <w:rFonts w:ascii="Arial" w:hAnsi="Arial" w:cs="Arial"/>
      <w:caps/>
      <w:szCs w:val="20"/>
      <w:u w:val="single"/>
    </w:rPr>
  </w:style>
  <w:style w:type="paragraph" w:styleId="Listepuces">
    <w:name w:val="List Bullet"/>
    <w:uiPriority w:val="99"/>
    <w:unhideWhenUsed/>
    <w:rsid w:val="00AD70C8"/>
    <w:pPr>
      <w:numPr>
        <w:numId w:val="29"/>
      </w:numPr>
      <w:spacing w:after="240" w:line="240" w:lineRule="auto"/>
      <w:ind w:left="357" w:hanging="357"/>
      <w:contextualSpacing/>
    </w:pPr>
    <w:rPr>
      <w:rFonts w:ascii="Arial" w:hAnsi="Arial" w:cs="Arial"/>
      <w:szCs w:val="20"/>
    </w:rPr>
  </w:style>
  <w:style w:type="character" w:styleId="Hyperlien">
    <w:name w:val="Hyperlink"/>
    <w:basedOn w:val="Policepardfaut"/>
    <w:uiPriority w:val="99"/>
    <w:unhideWhenUsed/>
    <w:rsid w:val="0085192C"/>
    <w:rPr>
      <w:color w:val="0563C1" w:themeColor="hyperlink"/>
      <w:u w:val="single"/>
    </w:rPr>
  </w:style>
  <w:style w:type="paragraph" w:customStyle="1" w:styleId="Corpsdetexte-BOLD">
    <w:name w:val="Corps de texte - BOLD"/>
    <w:basedOn w:val="Corpsdetexte"/>
    <w:next w:val="Normal"/>
    <w:link w:val="Corpsdetexte-BOLDCar"/>
    <w:rsid w:val="004B6527"/>
    <w:pPr>
      <w:spacing w:after="0"/>
    </w:pPr>
    <w:rPr>
      <w:rFonts w:cs="Arial"/>
      <w:b/>
      <w:szCs w:val="20"/>
    </w:rPr>
  </w:style>
  <w:style w:type="paragraph" w:customStyle="1" w:styleId="Adresse">
    <w:name w:val="Adresse"/>
    <w:next w:val="Normal"/>
    <w:rsid w:val="00E668C4"/>
    <w:pPr>
      <w:spacing w:after="0" w:line="240" w:lineRule="auto"/>
      <w:jc w:val="both"/>
    </w:pPr>
    <w:rPr>
      <w:rFonts w:ascii="Arial" w:hAnsi="Arial" w:cs="Arial"/>
      <w:szCs w:val="20"/>
    </w:rPr>
  </w:style>
  <w:style w:type="paragraph" w:customStyle="1" w:styleId="Provenance">
    <w:name w:val="Provenance"/>
    <w:next w:val="Normal"/>
    <w:rsid w:val="00840473"/>
    <w:pPr>
      <w:spacing w:before="1440" w:after="0" w:line="240" w:lineRule="auto"/>
      <w:contextualSpacing/>
    </w:pPr>
    <w:rPr>
      <w:rFonts w:ascii="Arial" w:eastAsia="Times New Roman" w:hAnsi="Arial" w:cs="Times New Roman"/>
      <w:i/>
      <w:iCs/>
      <w:sz w:val="18"/>
      <w:szCs w:val="20"/>
    </w:rPr>
  </w:style>
  <w:style w:type="character" w:customStyle="1" w:styleId="Corpsdetexte-ROUGE">
    <w:name w:val="Corps de texte - ROUGE"/>
    <w:basedOn w:val="Policepardfaut"/>
    <w:uiPriority w:val="1"/>
    <w:rsid w:val="0085192C"/>
    <w:rPr>
      <w:color w:val="DA291C" w:themeColor="accent1"/>
    </w:rPr>
  </w:style>
  <w:style w:type="character" w:customStyle="1" w:styleId="Titre1Car">
    <w:name w:val="Titre 1 Car"/>
    <w:basedOn w:val="Policepardfaut"/>
    <w:link w:val="Titre1"/>
    <w:uiPriority w:val="9"/>
    <w:rsid w:val="00007101"/>
    <w:rPr>
      <w:rFonts w:asciiTheme="majorHAnsi" w:eastAsiaTheme="majorEastAsia" w:hAnsiTheme="majorHAnsi" w:cstheme="majorBidi"/>
      <w:color w:val="DA291C" w:themeColor="accent1"/>
      <w:sz w:val="32"/>
      <w:szCs w:val="32"/>
    </w:rPr>
  </w:style>
  <w:style w:type="numbering" w:customStyle="1" w:styleId="TEST">
    <w:name w:val="TEST"/>
    <w:uiPriority w:val="99"/>
    <w:rsid w:val="00B13AC7"/>
    <w:pPr>
      <w:numPr>
        <w:numId w:val="9"/>
      </w:numPr>
    </w:pPr>
  </w:style>
  <w:style w:type="paragraph" w:styleId="Listepuces2">
    <w:name w:val="List Bullet 2"/>
    <w:basedOn w:val="Normal"/>
    <w:uiPriority w:val="99"/>
    <w:unhideWhenUsed/>
    <w:rsid w:val="00E71A38"/>
    <w:pPr>
      <w:numPr>
        <w:numId w:val="30"/>
      </w:numPr>
      <w:spacing w:after="240" w:line="240" w:lineRule="auto"/>
      <w:ind w:left="641" w:hanging="357"/>
      <w:contextualSpacing/>
    </w:pPr>
  </w:style>
  <w:style w:type="numbering" w:customStyle="1" w:styleId="Style1">
    <w:name w:val="Style1"/>
    <w:basedOn w:val="Aucuneliste"/>
    <w:uiPriority w:val="99"/>
    <w:rsid w:val="00C90ACD"/>
    <w:pPr>
      <w:numPr>
        <w:numId w:val="13"/>
      </w:numPr>
    </w:pPr>
  </w:style>
  <w:style w:type="paragraph" w:styleId="Sansinterligne">
    <w:name w:val="No Spacing"/>
    <w:uiPriority w:val="1"/>
    <w:qFormat/>
    <w:rsid w:val="00005F69"/>
    <w:pPr>
      <w:spacing w:after="0" w:line="240" w:lineRule="auto"/>
    </w:pPr>
    <w:rPr>
      <w:rFonts w:ascii="Arial" w:hAnsi="Arial"/>
    </w:rPr>
  </w:style>
  <w:style w:type="paragraph" w:styleId="Corpsdetexte">
    <w:name w:val="Body Text"/>
    <w:link w:val="CorpsdetexteCar"/>
    <w:uiPriority w:val="99"/>
    <w:unhideWhenUsed/>
    <w:rsid w:val="004B6527"/>
    <w:pPr>
      <w:spacing w:after="240" w:line="240" w:lineRule="auto"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4B6527"/>
    <w:rPr>
      <w:rFonts w:ascii="Arial" w:hAnsi="Arial"/>
    </w:rPr>
  </w:style>
  <w:style w:type="character" w:customStyle="1" w:styleId="Titre2Car">
    <w:name w:val="Titre 2 Car"/>
    <w:basedOn w:val="Policepardfaut"/>
    <w:link w:val="Titre2"/>
    <w:uiPriority w:val="9"/>
    <w:semiHidden/>
    <w:rsid w:val="00007101"/>
    <w:rPr>
      <w:rFonts w:asciiTheme="majorHAnsi" w:eastAsiaTheme="majorEastAsia" w:hAnsiTheme="majorHAnsi" w:cstheme="majorBidi"/>
      <w:color w:val="DA291C" w:themeColor="accent1"/>
      <w:sz w:val="26"/>
      <w:szCs w:val="26"/>
    </w:rPr>
  </w:style>
  <w:style w:type="character" w:customStyle="1" w:styleId="Corpsdetexte-BOLDCar">
    <w:name w:val="Corps de texte - BOLD Car"/>
    <w:basedOn w:val="CorpsdetexteCar"/>
    <w:link w:val="Corpsdetexte-BOLD"/>
    <w:rsid w:val="00723755"/>
    <w:rPr>
      <w:rFonts w:ascii="Arial" w:hAnsi="Arial" w:cs="Arial"/>
      <w:b/>
      <w:szCs w:val="20"/>
    </w:rPr>
  </w:style>
  <w:style w:type="paragraph" w:styleId="Commentaire">
    <w:name w:val="annotation text"/>
    <w:basedOn w:val="Normal"/>
    <w:link w:val="CommentaireCar"/>
    <w:unhideWhenUsed/>
    <w:rsid w:val="009953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9538B"/>
    <w:rPr>
      <w:rFonts w:ascii="Calibri" w:eastAsia="Calibri" w:hAnsi="Calibri" w:cs="Times New Roman"/>
      <w:sz w:val="20"/>
      <w:szCs w:val="20"/>
    </w:rPr>
  </w:style>
  <w:style w:type="character" w:styleId="Marquedecommentaire">
    <w:name w:val="annotation reference"/>
    <w:unhideWhenUsed/>
    <w:rsid w:val="0099538B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5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38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83DC3"/>
    <w:pPr>
      <w:ind w:left="720"/>
      <w:contextualSpacing/>
    </w:pPr>
    <w:rPr>
      <w:rFonts w:asciiTheme="minorHAnsi" w:hAnsiTheme="minorHAns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1213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12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1213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006E"/>
    <w:pPr>
      <w:spacing w:after="160"/>
    </w:pPr>
    <w:rPr>
      <w:rFonts w:ascii="Arial" w:eastAsiaTheme="minorHAnsi" w:hAnsi="Arial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006E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Delegatus">
      <a:dk1>
        <a:sysClr val="windowText" lastClr="000000"/>
      </a:dk1>
      <a:lt1>
        <a:srgbClr val="FFFFFF"/>
      </a:lt1>
      <a:dk2>
        <a:srgbClr val="575757"/>
      </a:dk2>
      <a:lt2>
        <a:srgbClr val="D1D3D4"/>
      </a:lt2>
      <a:accent1>
        <a:srgbClr val="DA291C"/>
      </a:accent1>
      <a:accent2>
        <a:srgbClr val="B2B2B2"/>
      </a:accent2>
      <a:accent3>
        <a:srgbClr val="878787"/>
      </a:accent3>
      <a:accent4>
        <a:srgbClr val="0070C0"/>
      </a:accent4>
      <a:accent5>
        <a:srgbClr val="5B9BD5"/>
      </a:accent5>
      <a:accent6>
        <a:srgbClr val="00B0F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7f687aa3-a9f9-4f03-a742-246e39f193e4">
      <Value>Programme RP</Value>
    </Sujet>
    <Filtre xmlns="7f687aa3-a9f9-4f03-a742-246e39f193e4" xsi:nil="true"/>
    <TypeDocument xmlns="7f687aa3-a9f9-4f03-a742-246e39f193e4">Modèle</TypeDocument>
    <Langue xmlns="7f687aa3-a9f9-4f03-a742-246e39f193e4">Français</Langue>
    <lcf76f155ced4ddcb4097134ff3c332f xmlns="7f687aa3-a9f9-4f03-a742-246e39f193e4">
      <Terms xmlns="http://schemas.microsoft.com/office/infopath/2007/PartnerControls"/>
    </lcf76f155ced4ddcb4097134ff3c332f>
    <TaxCatchAll xmlns="2350d4a3-729e-40af-b526-615a964c0c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0C447FFCFCE47B713BFAA15F72232" ma:contentTypeVersion="18" ma:contentTypeDescription="Crée un document." ma:contentTypeScope="" ma:versionID="8aa12dd279c6505d7d587a2a8d23c322">
  <xsd:schema xmlns:xsd="http://www.w3.org/2001/XMLSchema" xmlns:xs="http://www.w3.org/2001/XMLSchema" xmlns:p="http://schemas.microsoft.com/office/2006/metadata/properties" xmlns:ns2="7f687aa3-a9f9-4f03-a742-246e39f193e4" xmlns:ns3="2350d4a3-729e-40af-b526-615a964c0c80" targetNamespace="http://schemas.microsoft.com/office/2006/metadata/properties" ma:root="true" ma:fieldsID="a96a15e35f88495464f1930c22d10181" ns2:_="" ns3:_="">
    <xsd:import namespace="7f687aa3-a9f9-4f03-a742-246e39f193e4"/>
    <xsd:import namespace="2350d4a3-729e-40af-b526-615a964c0c80"/>
    <xsd:element name="properties">
      <xsd:complexType>
        <xsd:sequence>
          <xsd:element name="documentManagement">
            <xsd:complexType>
              <xsd:all>
                <xsd:element ref="ns2:TypeDocument" minOccurs="0"/>
                <xsd:element ref="ns2:Sujet" minOccurs="0"/>
                <xsd:element ref="ns2:Filtre" minOccurs="0"/>
                <xsd:element ref="ns2:Langu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87aa3-a9f9-4f03-a742-246e39f193e4" elementFormDefault="qualified">
    <xsd:import namespace="http://schemas.microsoft.com/office/2006/documentManagement/types"/>
    <xsd:import namespace="http://schemas.microsoft.com/office/infopath/2007/PartnerControls"/>
    <xsd:element name="TypeDocument" ma:index="8" nillable="true" ma:displayName="Type de document" ma:description="Sélectionner le type de document correspondant à ce fichier." ma:format="Dropdown" ma:internalName="TypeDocument">
      <xsd:simpleType>
        <xsd:restriction base="dms:Choice">
          <xsd:enumeration value="Directive"/>
          <xsd:enumeration value="Procédure"/>
          <xsd:enumeration value="Politique"/>
          <xsd:enumeration value="Modèle"/>
          <xsd:enumeration value="Formulaire"/>
          <xsd:enumeration value="Formation"/>
          <xsd:enumeration value="Référence"/>
        </xsd:restriction>
      </xsd:simpleType>
    </xsd:element>
    <xsd:element name="Sujet" ma:index="9" nillable="true" ma:displayName="Sujet" ma:description="Sélectionner les sujets concernés par ce fichier. Cette colonne est utilisée comme filtre par certains pages du site." ma:format="Dropdown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gramme RP"/>
                    <xsd:enumeration value="Loi 25"/>
                    <xsd:enumeration value="Responsable RP"/>
                    <xsd:enumeration value="Cybersécurité"/>
                  </xsd:restriction>
                </xsd:simpleType>
              </xsd:element>
            </xsd:sequence>
          </xsd:extension>
        </xsd:complexContent>
      </xsd:complexType>
    </xsd:element>
    <xsd:element name="Filtre" ma:index="10" nillable="true" ma:displayName="Filtre de diffusion" ma:description="Colonne utilisée comme filtre pour les webpart de diffusion." ma:format="Dropdown" ma:internalName="Filtre">
      <xsd:simpleType>
        <xsd:restriction base="dms:Text">
          <xsd:maxLength value="255"/>
        </xsd:restriction>
      </xsd:simpleType>
    </xsd:element>
    <xsd:element name="Langue" ma:index="11" nillable="true" ma:displayName="Langue" ma:default="Français" ma:description="Langue utilisée dans le document en question." ma:format="RadioButtons" ma:internalName="Langue">
      <xsd:simpleType>
        <xsd:restriction base="dms:Choice">
          <xsd:enumeration value="Français"/>
          <xsd:enumeration value="English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0847be8-31a8-4c21-8144-493f8fcbd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d4a3-729e-40af-b526-615a964c0c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58e6c0-82e9-4841-8ead-ee1963975269}" ma:internalName="TaxCatchAll" ma:showField="CatchAllData" ma:web="2350d4a3-729e-40af-b526-615a964c0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4A7E5-AD3B-40F1-94F0-A7FB087038FC}">
  <ds:schemaRefs>
    <ds:schemaRef ds:uri="http://schemas.microsoft.com/office/2006/metadata/properties"/>
    <ds:schemaRef ds:uri="http://schemas.microsoft.com/office/infopath/2007/PartnerControls"/>
    <ds:schemaRef ds:uri="7f687aa3-a9f9-4f03-a742-246e39f193e4"/>
    <ds:schemaRef ds:uri="2350d4a3-729e-40af-b526-615a964c0c80"/>
  </ds:schemaRefs>
</ds:datastoreItem>
</file>

<file path=customXml/itemProps2.xml><?xml version="1.0" encoding="utf-8"?>
<ds:datastoreItem xmlns:ds="http://schemas.openxmlformats.org/officeDocument/2006/customXml" ds:itemID="{FD0E8927-89AE-45AA-9B14-320C73152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1A00F-B08F-4186-9987-C593D9DF2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87aa3-a9f9-4f03-a742-246e39f193e4"/>
    <ds:schemaRef ds:uri="2350d4a3-729e-40af-b526-615a964c0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D0E27-9631-431C-8D7A-C6ECA0409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 Roy</dc:creator>
  <cp:keywords/>
  <dc:description/>
  <cp:lastModifiedBy>Maude Briand-L</cp:lastModifiedBy>
  <cp:revision>2</cp:revision>
  <cp:lastPrinted>2019-05-01T19:32:00Z</cp:lastPrinted>
  <dcterms:created xsi:type="dcterms:W3CDTF">2024-04-26T01:04:00Z</dcterms:created>
  <dcterms:modified xsi:type="dcterms:W3CDTF">2024-04-26T01:04:00Z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0x0101000780C447FFCFCE47B713BFAA15F72232</vt:lpwstr>
  </property>
  <property fmtid="{D5CDD505-2E9C-101B-9397-08002B2CF9AE}" pid="3" name="Order">
    <vt:r8>119000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